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D6229" w14:textId="77777777" w:rsidR="00C24811" w:rsidRDefault="00C24811" w:rsidP="00DC0161">
      <w:pPr>
        <w:jc w:val="center"/>
      </w:pPr>
    </w:p>
    <w:p w14:paraId="4C0B92F7" w14:textId="77777777" w:rsidR="00AE4DFC" w:rsidRDefault="00AE4DFC" w:rsidP="00DC0161">
      <w:pPr>
        <w:jc w:val="center"/>
      </w:pPr>
    </w:p>
    <w:p w14:paraId="7311DFED" w14:textId="77777777" w:rsidR="00AE4DFC" w:rsidRDefault="00AE4DFC" w:rsidP="00DC0161">
      <w:pPr>
        <w:jc w:val="center"/>
      </w:pPr>
    </w:p>
    <w:p w14:paraId="0FC86AE8" w14:textId="77777777" w:rsidR="00AE4DFC" w:rsidRDefault="00AE4DFC" w:rsidP="00DC0161">
      <w:pPr>
        <w:jc w:val="center"/>
      </w:pPr>
    </w:p>
    <w:p w14:paraId="16B9F7A9" w14:textId="77777777" w:rsidR="00C24811" w:rsidRDefault="00C24811" w:rsidP="00DC0161">
      <w:pPr>
        <w:jc w:val="center"/>
      </w:pPr>
    </w:p>
    <w:p w14:paraId="775EDCC4" w14:textId="77777777" w:rsidR="007B5621" w:rsidRPr="00C24811" w:rsidRDefault="00E20415" w:rsidP="00DC0161">
      <w:pPr>
        <w:jc w:val="center"/>
        <w:rPr>
          <w:sz w:val="28"/>
        </w:rPr>
      </w:pPr>
      <w:r w:rsidRPr="00C24811">
        <w:rPr>
          <w:sz w:val="28"/>
        </w:rPr>
        <w:t>BIOFIN</w:t>
      </w:r>
    </w:p>
    <w:p w14:paraId="0D484B42" w14:textId="77777777" w:rsidR="00E20415" w:rsidRPr="00C24811" w:rsidRDefault="00E20415" w:rsidP="00DC0161">
      <w:pPr>
        <w:jc w:val="center"/>
        <w:rPr>
          <w:sz w:val="28"/>
        </w:rPr>
      </w:pPr>
      <w:r w:rsidRPr="00C24811">
        <w:rPr>
          <w:sz w:val="28"/>
        </w:rPr>
        <w:t>Biodiversity Finance Initiative, Sri Lanka</w:t>
      </w:r>
    </w:p>
    <w:p w14:paraId="297BE6CA" w14:textId="77777777" w:rsidR="00E20415" w:rsidRDefault="00E20415" w:rsidP="00DC0161">
      <w:pPr>
        <w:jc w:val="center"/>
      </w:pPr>
    </w:p>
    <w:p w14:paraId="1151959F" w14:textId="77777777" w:rsidR="00C24811" w:rsidRDefault="00C24811" w:rsidP="00DC0161">
      <w:pPr>
        <w:jc w:val="center"/>
      </w:pPr>
    </w:p>
    <w:p w14:paraId="01E5BE1F" w14:textId="77777777" w:rsidR="00B308B9" w:rsidRDefault="00E20415" w:rsidP="00DC0161">
      <w:pPr>
        <w:jc w:val="center"/>
        <w:rPr>
          <w:b/>
          <w:sz w:val="48"/>
          <w:szCs w:val="48"/>
        </w:rPr>
      </w:pPr>
      <w:r w:rsidRPr="00DC0161">
        <w:rPr>
          <w:b/>
          <w:sz w:val="48"/>
          <w:szCs w:val="48"/>
        </w:rPr>
        <w:t xml:space="preserve">BIODIVERSITY FINANCE PLAN </w:t>
      </w:r>
    </w:p>
    <w:p w14:paraId="65BB5811" w14:textId="77777777" w:rsidR="00E20415" w:rsidRPr="00DC0161" w:rsidRDefault="00E20415" w:rsidP="00DC0161">
      <w:pPr>
        <w:jc w:val="center"/>
        <w:rPr>
          <w:b/>
          <w:sz w:val="48"/>
          <w:szCs w:val="48"/>
        </w:rPr>
      </w:pPr>
      <w:r w:rsidRPr="00DC0161">
        <w:rPr>
          <w:b/>
          <w:sz w:val="48"/>
          <w:szCs w:val="48"/>
        </w:rPr>
        <w:t>2018 - 2024</w:t>
      </w:r>
    </w:p>
    <w:p w14:paraId="5F2E75D8" w14:textId="77777777" w:rsidR="00E20415" w:rsidRDefault="00E20415" w:rsidP="00DC0161">
      <w:pPr>
        <w:jc w:val="center"/>
      </w:pPr>
    </w:p>
    <w:p w14:paraId="146BBF01" w14:textId="77777777" w:rsidR="00C24811" w:rsidRDefault="00C24811" w:rsidP="00DC0161">
      <w:pPr>
        <w:jc w:val="center"/>
      </w:pPr>
    </w:p>
    <w:p w14:paraId="249B1006" w14:textId="77777777" w:rsidR="00691059" w:rsidRDefault="00691059" w:rsidP="00DC0161">
      <w:pPr>
        <w:jc w:val="center"/>
      </w:pPr>
    </w:p>
    <w:p w14:paraId="048B538C" w14:textId="77777777" w:rsidR="00C24811" w:rsidRDefault="00C24811" w:rsidP="00DC0161">
      <w:pPr>
        <w:jc w:val="center"/>
      </w:pPr>
    </w:p>
    <w:p w14:paraId="7010CE97" w14:textId="77777777" w:rsidR="00C24811" w:rsidRDefault="00C24811" w:rsidP="00DC0161">
      <w:pPr>
        <w:jc w:val="center"/>
      </w:pPr>
    </w:p>
    <w:p w14:paraId="079AB954" w14:textId="30B64961" w:rsidR="00050568" w:rsidRDefault="00050568" w:rsidP="00DC0161">
      <w:pPr>
        <w:jc w:val="center"/>
      </w:pPr>
    </w:p>
    <w:p w14:paraId="593C4133" w14:textId="3E188AEC" w:rsidR="00187E29" w:rsidRDefault="00187E29" w:rsidP="00DC0161">
      <w:pPr>
        <w:jc w:val="center"/>
      </w:pPr>
      <w:r>
        <w:t>The Ministry of Finance</w:t>
      </w:r>
      <w:r w:rsidR="00114764">
        <w:t xml:space="preserve"> and Media</w:t>
      </w:r>
    </w:p>
    <w:p w14:paraId="54F5513D" w14:textId="09BA5DBC" w:rsidR="0020691A" w:rsidRDefault="000C6E23" w:rsidP="00DC0161">
      <w:pPr>
        <w:jc w:val="center"/>
      </w:pPr>
      <w:r>
        <w:t xml:space="preserve">The </w:t>
      </w:r>
      <w:r w:rsidRPr="000C6E23">
        <w:t>Ministry of National Policies and Economic Affairs</w:t>
      </w:r>
    </w:p>
    <w:p w14:paraId="6EAA638C" w14:textId="27F3FBC6" w:rsidR="00050568" w:rsidRDefault="00315042" w:rsidP="00DC0161">
      <w:pPr>
        <w:jc w:val="center"/>
      </w:pPr>
      <w:r>
        <w:t xml:space="preserve">The </w:t>
      </w:r>
      <w:r w:rsidR="00050568">
        <w:t>Ministry of Mahaw</w:t>
      </w:r>
      <w:r w:rsidR="00E17320">
        <w:t>eli Development a</w:t>
      </w:r>
      <w:r w:rsidR="00187E29">
        <w:t>nd Environment</w:t>
      </w:r>
    </w:p>
    <w:p w14:paraId="560EAE06" w14:textId="77777777" w:rsidR="00187E29" w:rsidRDefault="00187E29" w:rsidP="00DC0161">
      <w:pPr>
        <w:jc w:val="center"/>
      </w:pPr>
    </w:p>
    <w:p w14:paraId="509BC378" w14:textId="766E4A3D" w:rsidR="000C6E23" w:rsidRDefault="000C6E23" w:rsidP="00DC0161">
      <w:pPr>
        <w:jc w:val="center"/>
      </w:pPr>
      <w:r>
        <w:t>The Government of Sri Lanka</w:t>
      </w:r>
    </w:p>
    <w:p w14:paraId="623A6407" w14:textId="77777777" w:rsidR="00E20415" w:rsidRDefault="00E20415" w:rsidP="00DC0161">
      <w:pPr>
        <w:jc w:val="center"/>
      </w:pPr>
      <w:r>
        <w:t>Colombo</w:t>
      </w:r>
    </w:p>
    <w:p w14:paraId="751C5CB2" w14:textId="77777777" w:rsidR="0020691A" w:rsidRDefault="0020691A" w:rsidP="00DC0161">
      <w:pPr>
        <w:jc w:val="center"/>
      </w:pPr>
    </w:p>
    <w:p w14:paraId="5C1D180A" w14:textId="1A02C7E1" w:rsidR="00E20415" w:rsidRDefault="00D373EC" w:rsidP="00DC0161">
      <w:pPr>
        <w:jc w:val="center"/>
      </w:pPr>
      <w:r>
        <w:t>April 2019</w:t>
      </w:r>
    </w:p>
    <w:p w14:paraId="63302FBE" w14:textId="77777777" w:rsidR="00E20415" w:rsidRDefault="00E20415"/>
    <w:p w14:paraId="4AA46C62" w14:textId="77777777" w:rsidR="00A43E2C" w:rsidRDefault="00A43E2C" w:rsidP="00F4186E">
      <w:pPr>
        <w:jc w:val="both"/>
        <w:sectPr w:rsidR="00A43E2C" w:rsidSect="00653037">
          <w:footerReference w:type="default" r:id="rId8"/>
          <w:type w:val="continuous"/>
          <w:pgSz w:w="11907" w:h="16839" w:code="9"/>
          <w:pgMar w:top="1440" w:right="1440" w:bottom="1440" w:left="1440" w:header="720" w:footer="720" w:gutter="0"/>
          <w:pgNumType w:fmt="lowerRoman"/>
          <w:cols w:space="720"/>
          <w:titlePg/>
          <w:docGrid w:linePitch="360"/>
        </w:sectPr>
      </w:pPr>
    </w:p>
    <w:p w14:paraId="20DEB5B5" w14:textId="77777777" w:rsidR="00C86DEB" w:rsidRDefault="00C86DEB" w:rsidP="00C86DEB"/>
    <w:p w14:paraId="1AEDACE2" w14:textId="77777777" w:rsidR="00C86DEB" w:rsidRDefault="00C86DEB" w:rsidP="00C86DEB"/>
    <w:p w14:paraId="5FBEC9AB" w14:textId="697FFD60" w:rsidR="00AB405E" w:rsidRDefault="00AB405E" w:rsidP="00C86DEB">
      <w:pPr>
        <w:spacing w:after="0"/>
      </w:pPr>
    </w:p>
    <w:p w14:paraId="354B9A16" w14:textId="77777777" w:rsidR="00C86DEB" w:rsidRDefault="00C86DEB" w:rsidP="00C86DEB">
      <w:pPr>
        <w:spacing w:after="0"/>
      </w:pPr>
    </w:p>
    <w:p w14:paraId="30630639" w14:textId="77777777" w:rsidR="00C86DEB" w:rsidRDefault="00C86DEB" w:rsidP="00C86DEB">
      <w:bookmarkStart w:id="0" w:name="_GoBack"/>
      <w:bookmarkEnd w:id="0"/>
      <w:r>
        <w:br w:type="page"/>
      </w:r>
    </w:p>
    <w:p w14:paraId="61F29671" w14:textId="77777777" w:rsidR="00E20415" w:rsidRDefault="001E6F91" w:rsidP="00F4186E">
      <w:pPr>
        <w:jc w:val="both"/>
        <w:rPr>
          <w:color w:val="808080" w:themeColor="background1" w:themeShade="80"/>
          <w:sz w:val="52"/>
          <w:szCs w:val="52"/>
        </w:rPr>
      </w:pPr>
      <w:r w:rsidRPr="009B4F1E">
        <w:rPr>
          <w:color w:val="808080" w:themeColor="background1" w:themeShade="80"/>
          <w:sz w:val="52"/>
          <w:szCs w:val="52"/>
        </w:rPr>
        <w:t>CONTENTS</w:t>
      </w:r>
    </w:p>
    <w:p w14:paraId="09E63881" w14:textId="77777777" w:rsidR="00BC5638" w:rsidRPr="009B4F1E" w:rsidRDefault="00BC5638" w:rsidP="00BC5638"/>
    <w:sdt>
      <w:sdtPr>
        <w:rPr>
          <w:rFonts w:asciiTheme="minorHAnsi" w:eastAsiaTheme="minorHAnsi" w:hAnsiTheme="minorHAnsi" w:cstheme="minorBidi"/>
          <w:b w:val="0"/>
          <w:color w:val="auto"/>
          <w:spacing w:val="0"/>
          <w:kern w:val="0"/>
          <w:sz w:val="22"/>
          <w:szCs w:val="22"/>
        </w:rPr>
        <w:id w:val="-372617445"/>
        <w:docPartObj>
          <w:docPartGallery w:val="Table of Contents"/>
          <w:docPartUnique/>
        </w:docPartObj>
      </w:sdtPr>
      <w:sdtEndPr>
        <w:rPr>
          <w:bCs/>
          <w:noProof/>
        </w:rPr>
      </w:sdtEndPr>
      <w:sdtContent>
        <w:p w14:paraId="32824FCF" w14:textId="77777777" w:rsidR="00FD3EE5" w:rsidRPr="00FD3EE5" w:rsidRDefault="00FD3EE5" w:rsidP="00FD3EE5">
          <w:pPr>
            <w:pStyle w:val="TOCHeading"/>
          </w:pPr>
        </w:p>
        <w:p w14:paraId="579886E8" w14:textId="77777777" w:rsidR="00BC5638" w:rsidRDefault="008B7E9D">
          <w:pPr>
            <w:pStyle w:val="TOC1"/>
            <w:tabs>
              <w:tab w:val="right" w:leader="dot" w:pos="9017"/>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26876292" w:history="1">
            <w:r w:rsidR="00BC5638" w:rsidRPr="00345B1D">
              <w:rPr>
                <w:rStyle w:val="Hyperlink"/>
                <w:noProof/>
              </w:rPr>
              <w:t>ACKNOWLEDGEMENT</w:t>
            </w:r>
            <w:r w:rsidR="00BC5638">
              <w:rPr>
                <w:noProof/>
                <w:webHidden/>
              </w:rPr>
              <w:tab/>
            </w:r>
            <w:r w:rsidR="00BC5638">
              <w:rPr>
                <w:noProof/>
                <w:webHidden/>
              </w:rPr>
              <w:fldChar w:fldCharType="begin"/>
            </w:r>
            <w:r w:rsidR="00BC5638">
              <w:rPr>
                <w:noProof/>
                <w:webHidden/>
              </w:rPr>
              <w:instrText xml:space="preserve"> PAGEREF _Toc526876292 \h </w:instrText>
            </w:r>
            <w:r w:rsidR="00BC5638">
              <w:rPr>
                <w:noProof/>
                <w:webHidden/>
              </w:rPr>
            </w:r>
            <w:r w:rsidR="00BC5638">
              <w:rPr>
                <w:noProof/>
                <w:webHidden/>
              </w:rPr>
              <w:fldChar w:fldCharType="separate"/>
            </w:r>
            <w:r w:rsidR="000D00B5">
              <w:rPr>
                <w:noProof/>
                <w:webHidden/>
              </w:rPr>
              <w:t>v</w:t>
            </w:r>
            <w:r w:rsidR="00BC5638">
              <w:rPr>
                <w:noProof/>
                <w:webHidden/>
              </w:rPr>
              <w:fldChar w:fldCharType="end"/>
            </w:r>
          </w:hyperlink>
        </w:p>
        <w:p w14:paraId="117C5B7C" w14:textId="77777777" w:rsidR="00BC5638" w:rsidRDefault="00A308F5">
          <w:pPr>
            <w:pStyle w:val="TOC1"/>
            <w:tabs>
              <w:tab w:val="right" w:leader="dot" w:pos="9017"/>
            </w:tabs>
            <w:rPr>
              <w:rStyle w:val="Hyperlink"/>
              <w:noProof/>
            </w:rPr>
          </w:pPr>
          <w:hyperlink w:anchor="_Toc526876293" w:history="1">
            <w:r w:rsidR="00BC5638" w:rsidRPr="00345B1D">
              <w:rPr>
                <w:rStyle w:val="Hyperlink"/>
                <w:noProof/>
              </w:rPr>
              <w:t>ABREVIATIONS &amp; ACRONYMS</w:t>
            </w:r>
            <w:r w:rsidR="00BC5638">
              <w:rPr>
                <w:noProof/>
                <w:webHidden/>
              </w:rPr>
              <w:tab/>
            </w:r>
            <w:r w:rsidR="00BC5638">
              <w:rPr>
                <w:noProof/>
                <w:webHidden/>
              </w:rPr>
              <w:fldChar w:fldCharType="begin"/>
            </w:r>
            <w:r w:rsidR="00BC5638">
              <w:rPr>
                <w:noProof/>
                <w:webHidden/>
              </w:rPr>
              <w:instrText xml:space="preserve"> PAGEREF _Toc526876293 \h </w:instrText>
            </w:r>
            <w:r w:rsidR="00BC5638">
              <w:rPr>
                <w:noProof/>
                <w:webHidden/>
              </w:rPr>
            </w:r>
            <w:r w:rsidR="00BC5638">
              <w:rPr>
                <w:noProof/>
                <w:webHidden/>
              </w:rPr>
              <w:fldChar w:fldCharType="separate"/>
            </w:r>
            <w:r w:rsidR="000D00B5">
              <w:rPr>
                <w:noProof/>
                <w:webHidden/>
              </w:rPr>
              <w:t>vi</w:t>
            </w:r>
            <w:r w:rsidR="00BC5638">
              <w:rPr>
                <w:noProof/>
                <w:webHidden/>
              </w:rPr>
              <w:fldChar w:fldCharType="end"/>
            </w:r>
          </w:hyperlink>
        </w:p>
        <w:p w14:paraId="2F900719" w14:textId="77777777" w:rsidR="00BC5638" w:rsidRPr="00BC5638" w:rsidRDefault="00BC5638" w:rsidP="00BC5638">
          <w:pPr>
            <w:rPr>
              <w:noProof/>
            </w:rPr>
          </w:pPr>
        </w:p>
        <w:p w14:paraId="6ACE586B" w14:textId="77777777" w:rsidR="00BC5638" w:rsidRDefault="00A308F5">
          <w:pPr>
            <w:pStyle w:val="TOC1"/>
            <w:tabs>
              <w:tab w:val="right" w:leader="dot" w:pos="9017"/>
            </w:tabs>
            <w:rPr>
              <w:rFonts w:eastAsiaTheme="minorEastAsia"/>
              <w:noProof/>
            </w:rPr>
          </w:pPr>
          <w:hyperlink w:anchor="_Toc526876294" w:history="1">
            <w:r w:rsidR="00BC5638" w:rsidRPr="00345B1D">
              <w:rPr>
                <w:rStyle w:val="Hyperlink"/>
                <w:noProof/>
              </w:rPr>
              <w:t>INTRODUCTION</w:t>
            </w:r>
            <w:r w:rsidR="00BC5638">
              <w:rPr>
                <w:noProof/>
                <w:webHidden/>
              </w:rPr>
              <w:tab/>
            </w:r>
            <w:r w:rsidR="00BC5638">
              <w:rPr>
                <w:noProof/>
                <w:webHidden/>
              </w:rPr>
              <w:fldChar w:fldCharType="begin"/>
            </w:r>
            <w:r w:rsidR="00BC5638">
              <w:rPr>
                <w:noProof/>
                <w:webHidden/>
              </w:rPr>
              <w:instrText xml:space="preserve"> PAGEREF _Toc526876294 \h </w:instrText>
            </w:r>
            <w:r w:rsidR="00BC5638">
              <w:rPr>
                <w:noProof/>
                <w:webHidden/>
              </w:rPr>
            </w:r>
            <w:r w:rsidR="00BC5638">
              <w:rPr>
                <w:noProof/>
                <w:webHidden/>
              </w:rPr>
              <w:fldChar w:fldCharType="separate"/>
            </w:r>
            <w:r w:rsidR="000D00B5">
              <w:rPr>
                <w:noProof/>
                <w:webHidden/>
              </w:rPr>
              <w:t>1</w:t>
            </w:r>
            <w:r w:rsidR="00BC5638">
              <w:rPr>
                <w:noProof/>
                <w:webHidden/>
              </w:rPr>
              <w:fldChar w:fldCharType="end"/>
            </w:r>
          </w:hyperlink>
        </w:p>
        <w:p w14:paraId="0922FFCE" w14:textId="77777777" w:rsidR="00BC5638" w:rsidRDefault="00A308F5">
          <w:pPr>
            <w:pStyle w:val="TOC3"/>
            <w:tabs>
              <w:tab w:val="right" w:leader="dot" w:pos="9017"/>
            </w:tabs>
            <w:rPr>
              <w:rFonts w:eastAsiaTheme="minorEastAsia"/>
              <w:noProof/>
            </w:rPr>
          </w:pPr>
          <w:hyperlink w:anchor="_Toc526876295" w:history="1">
            <w:r w:rsidR="00BC5638" w:rsidRPr="00345B1D">
              <w:rPr>
                <w:rStyle w:val="Hyperlink"/>
                <w:noProof/>
              </w:rPr>
              <w:t>Aims and Objectives of the Plan</w:t>
            </w:r>
            <w:r w:rsidR="00BC5638">
              <w:rPr>
                <w:noProof/>
                <w:webHidden/>
              </w:rPr>
              <w:tab/>
            </w:r>
            <w:r w:rsidR="00BC5638">
              <w:rPr>
                <w:noProof/>
                <w:webHidden/>
              </w:rPr>
              <w:fldChar w:fldCharType="begin"/>
            </w:r>
            <w:r w:rsidR="00BC5638">
              <w:rPr>
                <w:noProof/>
                <w:webHidden/>
              </w:rPr>
              <w:instrText xml:space="preserve"> PAGEREF _Toc526876295 \h </w:instrText>
            </w:r>
            <w:r w:rsidR="00BC5638">
              <w:rPr>
                <w:noProof/>
                <w:webHidden/>
              </w:rPr>
            </w:r>
            <w:r w:rsidR="00BC5638">
              <w:rPr>
                <w:noProof/>
                <w:webHidden/>
              </w:rPr>
              <w:fldChar w:fldCharType="separate"/>
            </w:r>
            <w:r w:rsidR="000D00B5">
              <w:rPr>
                <w:noProof/>
                <w:webHidden/>
              </w:rPr>
              <w:t>1</w:t>
            </w:r>
            <w:r w:rsidR="00BC5638">
              <w:rPr>
                <w:noProof/>
                <w:webHidden/>
              </w:rPr>
              <w:fldChar w:fldCharType="end"/>
            </w:r>
          </w:hyperlink>
        </w:p>
        <w:p w14:paraId="1EBC29ED" w14:textId="77777777" w:rsidR="00BC5638" w:rsidRDefault="00A308F5">
          <w:pPr>
            <w:pStyle w:val="TOC3"/>
            <w:tabs>
              <w:tab w:val="right" w:leader="dot" w:pos="9017"/>
            </w:tabs>
            <w:rPr>
              <w:rFonts w:eastAsiaTheme="minorEastAsia"/>
              <w:noProof/>
            </w:rPr>
          </w:pPr>
          <w:hyperlink w:anchor="_Toc526876296" w:history="1">
            <w:r w:rsidR="00BC5638" w:rsidRPr="00345B1D">
              <w:rPr>
                <w:rStyle w:val="Hyperlink"/>
                <w:noProof/>
              </w:rPr>
              <w:t>BIOFIN Process</w:t>
            </w:r>
            <w:r w:rsidR="00BC5638">
              <w:rPr>
                <w:noProof/>
                <w:webHidden/>
              </w:rPr>
              <w:tab/>
            </w:r>
            <w:r w:rsidR="00BC5638">
              <w:rPr>
                <w:noProof/>
                <w:webHidden/>
              </w:rPr>
              <w:fldChar w:fldCharType="begin"/>
            </w:r>
            <w:r w:rsidR="00BC5638">
              <w:rPr>
                <w:noProof/>
                <w:webHidden/>
              </w:rPr>
              <w:instrText xml:space="preserve"> PAGEREF _Toc526876296 \h </w:instrText>
            </w:r>
            <w:r w:rsidR="00BC5638">
              <w:rPr>
                <w:noProof/>
                <w:webHidden/>
              </w:rPr>
            </w:r>
            <w:r w:rsidR="00BC5638">
              <w:rPr>
                <w:noProof/>
                <w:webHidden/>
              </w:rPr>
              <w:fldChar w:fldCharType="separate"/>
            </w:r>
            <w:r w:rsidR="000D00B5">
              <w:rPr>
                <w:noProof/>
                <w:webHidden/>
              </w:rPr>
              <w:t>2</w:t>
            </w:r>
            <w:r w:rsidR="00BC5638">
              <w:rPr>
                <w:noProof/>
                <w:webHidden/>
              </w:rPr>
              <w:fldChar w:fldCharType="end"/>
            </w:r>
          </w:hyperlink>
        </w:p>
        <w:p w14:paraId="33A12365" w14:textId="77777777" w:rsidR="00BC5638" w:rsidRDefault="00A308F5">
          <w:pPr>
            <w:pStyle w:val="TOC3"/>
            <w:tabs>
              <w:tab w:val="right" w:leader="dot" w:pos="9017"/>
            </w:tabs>
            <w:rPr>
              <w:rStyle w:val="Hyperlink"/>
              <w:noProof/>
            </w:rPr>
          </w:pPr>
          <w:hyperlink w:anchor="_Toc526876297" w:history="1">
            <w:r w:rsidR="00BC5638" w:rsidRPr="00345B1D">
              <w:rPr>
                <w:rStyle w:val="Hyperlink"/>
                <w:noProof/>
              </w:rPr>
              <w:t>Methodology</w:t>
            </w:r>
            <w:r w:rsidR="00BC5638">
              <w:rPr>
                <w:noProof/>
                <w:webHidden/>
              </w:rPr>
              <w:tab/>
            </w:r>
            <w:r w:rsidR="00BC5638">
              <w:rPr>
                <w:noProof/>
                <w:webHidden/>
              </w:rPr>
              <w:fldChar w:fldCharType="begin"/>
            </w:r>
            <w:r w:rsidR="00BC5638">
              <w:rPr>
                <w:noProof/>
                <w:webHidden/>
              </w:rPr>
              <w:instrText xml:space="preserve"> PAGEREF _Toc526876297 \h </w:instrText>
            </w:r>
            <w:r w:rsidR="00BC5638">
              <w:rPr>
                <w:noProof/>
                <w:webHidden/>
              </w:rPr>
            </w:r>
            <w:r w:rsidR="00BC5638">
              <w:rPr>
                <w:noProof/>
                <w:webHidden/>
              </w:rPr>
              <w:fldChar w:fldCharType="separate"/>
            </w:r>
            <w:r w:rsidR="000D00B5">
              <w:rPr>
                <w:noProof/>
                <w:webHidden/>
              </w:rPr>
              <w:t>2</w:t>
            </w:r>
            <w:r w:rsidR="00BC5638">
              <w:rPr>
                <w:noProof/>
                <w:webHidden/>
              </w:rPr>
              <w:fldChar w:fldCharType="end"/>
            </w:r>
          </w:hyperlink>
        </w:p>
        <w:p w14:paraId="436D287E" w14:textId="77777777" w:rsidR="00BC5638" w:rsidRPr="00BC5638" w:rsidRDefault="00BC5638" w:rsidP="00BC5638">
          <w:pPr>
            <w:rPr>
              <w:noProof/>
            </w:rPr>
          </w:pPr>
        </w:p>
        <w:p w14:paraId="47D7994E" w14:textId="77777777" w:rsidR="00BC5638" w:rsidRDefault="00A308F5">
          <w:pPr>
            <w:pStyle w:val="TOC1"/>
            <w:tabs>
              <w:tab w:val="right" w:leader="dot" w:pos="9017"/>
            </w:tabs>
            <w:rPr>
              <w:rFonts w:eastAsiaTheme="minorEastAsia"/>
              <w:noProof/>
            </w:rPr>
          </w:pPr>
          <w:hyperlink w:anchor="_Toc526876298" w:history="1">
            <w:r w:rsidR="00BC5638" w:rsidRPr="00345B1D">
              <w:rPr>
                <w:rStyle w:val="Hyperlink"/>
                <w:noProof/>
              </w:rPr>
              <w:t>THE PLAN</w:t>
            </w:r>
            <w:r w:rsidR="00BC5638">
              <w:rPr>
                <w:noProof/>
                <w:webHidden/>
              </w:rPr>
              <w:tab/>
            </w:r>
            <w:r w:rsidR="00BC5638">
              <w:rPr>
                <w:noProof/>
                <w:webHidden/>
              </w:rPr>
              <w:fldChar w:fldCharType="begin"/>
            </w:r>
            <w:r w:rsidR="00BC5638">
              <w:rPr>
                <w:noProof/>
                <w:webHidden/>
              </w:rPr>
              <w:instrText xml:space="preserve"> PAGEREF _Toc526876298 \h </w:instrText>
            </w:r>
            <w:r w:rsidR="00BC5638">
              <w:rPr>
                <w:noProof/>
                <w:webHidden/>
              </w:rPr>
            </w:r>
            <w:r w:rsidR="00BC5638">
              <w:rPr>
                <w:noProof/>
                <w:webHidden/>
              </w:rPr>
              <w:fldChar w:fldCharType="separate"/>
            </w:r>
            <w:r w:rsidR="000D00B5">
              <w:rPr>
                <w:noProof/>
                <w:webHidden/>
              </w:rPr>
              <w:t>4</w:t>
            </w:r>
            <w:r w:rsidR="00BC5638">
              <w:rPr>
                <w:noProof/>
                <w:webHidden/>
              </w:rPr>
              <w:fldChar w:fldCharType="end"/>
            </w:r>
          </w:hyperlink>
        </w:p>
        <w:p w14:paraId="35212758" w14:textId="77777777" w:rsidR="00BC5638" w:rsidRDefault="00A308F5">
          <w:pPr>
            <w:pStyle w:val="TOC2"/>
            <w:tabs>
              <w:tab w:val="right" w:leader="dot" w:pos="9017"/>
            </w:tabs>
            <w:rPr>
              <w:rFonts w:eastAsiaTheme="minorEastAsia"/>
              <w:noProof/>
            </w:rPr>
          </w:pPr>
          <w:hyperlink w:anchor="_Toc526876299" w:history="1">
            <w:r w:rsidR="00BC5638" w:rsidRPr="00345B1D">
              <w:rPr>
                <w:rStyle w:val="Hyperlink"/>
                <w:noProof/>
              </w:rPr>
              <w:t>1. Vision</w:t>
            </w:r>
            <w:r w:rsidR="00BC5638">
              <w:rPr>
                <w:noProof/>
                <w:webHidden/>
              </w:rPr>
              <w:tab/>
            </w:r>
            <w:r w:rsidR="00BC5638">
              <w:rPr>
                <w:noProof/>
                <w:webHidden/>
              </w:rPr>
              <w:fldChar w:fldCharType="begin"/>
            </w:r>
            <w:r w:rsidR="00BC5638">
              <w:rPr>
                <w:noProof/>
                <w:webHidden/>
              </w:rPr>
              <w:instrText xml:space="preserve"> PAGEREF _Toc526876299 \h </w:instrText>
            </w:r>
            <w:r w:rsidR="00BC5638">
              <w:rPr>
                <w:noProof/>
                <w:webHidden/>
              </w:rPr>
            </w:r>
            <w:r w:rsidR="00BC5638">
              <w:rPr>
                <w:noProof/>
                <w:webHidden/>
              </w:rPr>
              <w:fldChar w:fldCharType="separate"/>
            </w:r>
            <w:r w:rsidR="000D00B5">
              <w:rPr>
                <w:noProof/>
                <w:webHidden/>
              </w:rPr>
              <w:t>4</w:t>
            </w:r>
            <w:r w:rsidR="00BC5638">
              <w:rPr>
                <w:noProof/>
                <w:webHidden/>
              </w:rPr>
              <w:fldChar w:fldCharType="end"/>
            </w:r>
          </w:hyperlink>
        </w:p>
        <w:p w14:paraId="53EF24EC" w14:textId="77777777" w:rsidR="00BC5638" w:rsidRDefault="00A308F5">
          <w:pPr>
            <w:pStyle w:val="TOC3"/>
            <w:tabs>
              <w:tab w:val="right" w:leader="dot" w:pos="9017"/>
            </w:tabs>
            <w:rPr>
              <w:rFonts w:eastAsiaTheme="minorEastAsia"/>
              <w:noProof/>
            </w:rPr>
          </w:pPr>
          <w:hyperlink w:anchor="_Toc526876300" w:history="1">
            <w:r w:rsidR="00BC5638" w:rsidRPr="00345B1D">
              <w:rPr>
                <w:rStyle w:val="Hyperlink"/>
                <w:noProof/>
              </w:rPr>
              <w:t>Vision, contributing to the nation</w:t>
            </w:r>
            <w:r w:rsidR="00BC5638">
              <w:rPr>
                <w:noProof/>
                <w:webHidden/>
              </w:rPr>
              <w:tab/>
            </w:r>
            <w:r w:rsidR="00BC5638">
              <w:rPr>
                <w:noProof/>
                <w:webHidden/>
              </w:rPr>
              <w:fldChar w:fldCharType="begin"/>
            </w:r>
            <w:r w:rsidR="00BC5638">
              <w:rPr>
                <w:noProof/>
                <w:webHidden/>
              </w:rPr>
              <w:instrText xml:space="preserve"> PAGEREF _Toc526876300 \h </w:instrText>
            </w:r>
            <w:r w:rsidR="00BC5638">
              <w:rPr>
                <w:noProof/>
                <w:webHidden/>
              </w:rPr>
            </w:r>
            <w:r w:rsidR="00BC5638">
              <w:rPr>
                <w:noProof/>
                <w:webHidden/>
              </w:rPr>
              <w:fldChar w:fldCharType="separate"/>
            </w:r>
            <w:r w:rsidR="000D00B5">
              <w:rPr>
                <w:noProof/>
                <w:webHidden/>
              </w:rPr>
              <w:t>4</w:t>
            </w:r>
            <w:r w:rsidR="00BC5638">
              <w:rPr>
                <w:noProof/>
                <w:webHidden/>
              </w:rPr>
              <w:fldChar w:fldCharType="end"/>
            </w:r>
          </w:hyperlink>
        </w:p>
        <w:p w14:paraId="1868564A" w14:textId="77777777" w:rsidR="00BC5638" w:rsidRDefault="00A308F5">
          <w:pPr>
            <w:pStyle w:val="TOC3"/>
            <w:tabs>
              <w:tab w:val="right" w:leader="dot" w:pos="9017"/>
            </w:tabs>
            <w:rPr>
              <w:rFonts w:eastAsiaTheme="minorEastAsia"/>
              <w:noProof/>
            </w:rPr>
          </w:pPr>
          <w:hyperlink w:anchor="_Toc526876301" w:history="1">
            <w:r w:rsidR="00BC5638" w:rsidRPr="00345B1D">
              <w:rPr>
                <w:rStyle w:val="Hyperlink"/>
                <w:noProof/>
              </w:rPr>
              <w:t>Vision, in line with national agenda</w:t>
            </w:r>
            <w:r w:rsidR="00BC5638">
              <w:rPr>
                <w:noProof/>
                <w:webHidden/>
              </w:rPr>
              <w:tab/>
            </w:r>
            <w:r w:rsidR="00BC5638">
              <w:rPr>
                <w:noProof/>
                <w:webHidden/>
              </w:rPr>
              <w:fldChar w:fldCharType="begin"/>
            </w:r>
            <w:r w:rsidR="00BC5638">
              <w:rPr>
                <w:noProof/>
                <w:webHidden/>
              </w:rPr>
              <w:instrText xml:space="preserve"> PAGEREF _Toc526876301 \h </w:instrText>
            </w:r>
            <w:r w:rsidR="00BC5638">
              <w:rPr>
                <w:noProof/>
                <w:webHidden/>
              </w:rPr>
            </w:r>
            <w:r w:rsidR="00BC5638">
              <w:rPr>
                <w:noProof/>
                <w:webHidden/>
              </w:rPr>
              <w:fldChar w:fldCharType="separate"/>
            </w:r>
            <w:r w:rsidR="000D00B5">
              <w:rPr>
                <w:noProof/>
                <w:webHidden/>
              </w:rPr>
              <w:t>5</w:t>
            </w:r>
            <w:r w:rsidR="00BC5638">
              <w:rPr>
                <w:noProof/>
                <w:webHidden/>
              </w:rPr>
              <w:fldChar w:fldCharType="end"/>
            </w:r>
          </w:hyperlink>
        </w:p>
        <w:p w14:paraId="75C32594" w14:textId="77777777" w:rsidR="00BC5638" w:rsidRDefault="00A308F5">
          <w:pPr>
            <w:pStyle w:val="TOC3"/>
            <w:tabs>
              <w:tab w:val="right" w:leader="dot" w:pos="9017"/>
            </w:tabs>
            <w:rPr>
              <w:rFonts w:eastAsiaTheme="minorEastAsia"/>
              <w:noProof/>
            </w:rPr>
          </w:pPr>
          <w:hyperlink w:anchor="_Toc526876302" w:history="1">
            <w:r w:rsidR="00BC5638" w:rsidRPr="00345B1D">
              <w:rPr>
                <w:rStyle w:val="Hyperlink"/>
                <w:noProof/>
              </w:rPr>
              <w:t>Branding Sri Lanka: Investing in Biodiversity as a Business Case</w:t>
            </w:r>
            <w:r w:rsidR="00BC5638">
              <w:rPr>
                <w:noProof/>
                <w:webHidden/>
              </w:rPr>
              <w:tab/>
            </w:r>
            <w:r w:rsidR="00BC5638">
              <w:rPr>
                <w:noProof/>
                <w:webHidden/>
              </w:rPr>
              <w:fldChar w:fldCharType="begin"/>
            </w:r>
            <w:r w:rsidR="00BC5638">
              <w:rPr>
                <w:noProof/>
                <w:webHidden/>
              </w:rPr>
              <w:instrText xml:space="preserve"> PAGEREF _Toc526876302 \h </w:instrText>
            </w:r>
            <w:r w:rsidR="00BC5638">
              <w:rPr>
                <w:noProof/>
                <w:webHidden/>
              </w:rPr>
            </w:r>
            <w:r w:rsidR="00BC5638">
              <w:rPr>
                <w:noProof/>
                <w:webHidden/>
              </w:rPr>
              <w:fldChar w:fldCharType="separate"/>
            </w:r>
            <w:r w:rsidR="000D00B5">
              <w:rPr>
                <w:noProof/>
                <w:webHidden/>
              </w:rPr>
              <w:t>7</w:t>
            </w:r>
            <w:r w:rsidR="00BC5638">
              <w:rPr>
                <w:noProof/>
                <w:webHidden/>
              </w:rPr>
              <w:fldChar w:fldCharType="end"/>
            </w:r>
          </w:hyperlink>
        </w:p>
        <w:p w14:paraId="5A8590A8" w14:textId="77777777" w:rsidR="00BC5638" w:rsidRDefault="00A308F5">
          <w:pPr>
            <w:pStyle w:val="TOC2"/>
            <w:tabs>
              <w:tab w:val="right" w:leader="dot" w:pos="9017"/>
            </w:tabs>
            <w:rPr>
              <w:rFonts w:eastAsiaTheme="minorEastAsia"/>
              <w:noProof/>
            </w:rPr>
          </w:pPr>
          <w:hyperlink w:anchor="_Toc526876303" w:history="1">
            <w:r w:rsidR="00BC5638" w:rsidRPr="00345B1D">
              <w:rPr>
                <w:rStyle w:val="Hyperlink"/>
                <w:noProof/>
              </w:rPr>
              <w:t>2. Goals, Objectives and Targets</w:t>
            </w:r>
            <w:r w:rsidR="00BC5638">
              <w:rPr>
                <w:noProof/>
                <w:webHidden/>
              </w:rPr>
              <w:tab/>
            </w:r>
            <w:r w:rsidR="00BC5638">
              <w:rPr>
                <w:noProof/>
                <w:webHidden/>
              </w:rPr>
              <w:fldChar w:fldCharType="begin"/>
            </w:r>
            <w:r w:rsidR="00BC5638">
              <w:rPr>
                <w:noProof/>
                <w:webHidden/>
              </w:rPr>
              <w:instrText xml:space="preserve"> PAGEREF _Toc526876303 \h </w:instrText>
            </w:r>
            <w:r w:rsidR="00BC5638">
              <w:rPr>
                <w:noProof/>
                <w:webHidden/>
              </w:rPr>
            </w:r>
            <w:r w:rsidR="00BC5638">
              <w:rPr>
                <w:noProof/>
                <w:webHidden/>
              </w:rPr>
              <w:fldChar w:fldCharType="separate"/>
            </w:r>
            <w:r w:rsidR="000D00B5">
              <w:rPr>
                <w:noProof/>
                <w:webHidden/>
              </w:rPr>
              <w:t>8</w:t>
            </w:r>
            <w:r w:rsidR="00BC5638">
              <w:rPr>
                <w:noProof/>
                <w:webHidden/>
              </w:rPr>
              <w:fldChar w:fldCharType="end"/>
            </w:r>
          </w:hyperlink>
        </w:p>
        <w:p w14:paraId="510B5A77" w14:textId="77777777" w:rsidR="00BC5638" w:rsidRDefault="00A308F5">
          <w:pPr>
            <w:pStyle w:val="TOC3"/>
            <w:tabs>
              <w:tab w:val="right" w:leader="dot" w:pos="9017"/>
            </w:tabs>
            <w:rPr>
              <w:rFonts w:eastAsiaTheme="minorEastAsia"/>
              <w:noProof/>
            </w:rPr>
          </w:pPr>
          <w:hyperlink w:anchor="_Toc526876304" w:history="1">
            <w:r w:rsidR="00BC5638" w:rsidRPr="00345B1D">
              <w:rPr>
                <w:rStyle w:val="Hyperlink"/>
                <w:noProof/>
              </w:rPr>
              <w:t>Goal</w:t>
            </w:r>
            <w:r w:rsidR="00BC5638">
              <w:rPr>
                <w:noProof/>
                <w:webHidden/>
              </w:rPr>
              <w:tab/>
            </w:r>
            <w:r w:rsidR="00BC5638">
              <w:rPr>
                <w:noProof/>
                <w:webHidden/>
              </w:rPr>
              <w:fldChar w:fldCharType="begin"/>
            </w:r>
            <w:r w:rsidR="00BC5638">
              <w:rPr>
                <w:noProof/>
                <w:webHidden/>
              </w:rPr>
              <w:instrText xml:space="preserve"> PAGEREF _Toc526876304 \h </w:instrText>
            </w:r>
            <w:r w:rsidR="00BC5638">
              <w:rPr>
                <w:noProof/>
                <w:webHidden/>
              </w:rPr>
            </w:r>
            <w:r w:rsidR="00BC5638">
              <w:rPr>
                <w:noProof/>
                <w:webHidden/>
              </w:rPr>
              <w:fldChar w:fldCharType="separate"/>
            </w:r>
            <w:r w:rsidR="000D00B5">
              <w:rPr>
                <w:noProof/>
                <w:webHidden/>
              </w:rPr>
              <w:t>8</w:t>
            </w:r>
            <w:r w:rsidR="00BC5638">
              <w:rPr>
                <w:noProof/>
                <w:webHidden/>
              </w:rPr>
              <w:fldChar w:fldCharType="end"/>
            </w:r>
          </w:hyperlink>
        </w:p>
        <w:p w14:paraId="3B9A747A" w14:textId="77777777" w:rsidR="00BC5638" w:rsidRDefault="00A308F5">
          <w:pPr>
            <w:pStyle w:val="TOC3"/>
            <w:tabs>
              <w:tab w:val="right" w:leader="dot" w:pos="9017"/>
            </w:tabs>
            <w:rPr>
              <w:rFonts w:eastAsiaTheme="minorEastAsia"/>
              <w:noProof/>
            </w:rPr>
          </w:pPr>
          <w:hyperlink w:anchor="_Toc526876305" w:history="1">
            <w:r w:rsidR="00BC5638" w:rsidRPr="00345B1D">
              <w:rPr>
                <w:rStyle w:val="Hyperlink"/>
                <w:noProof/>
              </w:rPr>
              <w:t>Objectives</w:t>
            </w:r>
            <w:r w:rsidR="00BC5638">
              <w:rPr>
                <w:noProof/>
                <w:webHidden/>
              </w:rPr>
              <w:tab/>
            </w:r>
            <w:r w:rsidR="00BC5638">
              <w:rPr>
                <w:noProof/>
                <w:webHidden/>
              </w:rPr>
              <w:fldChar w:fldCharType="begin"/>
            </w:r>
            <w:r w:rsidR="00BC5638">
              <w:rPr>
                <w:noProof/>
                <w:webHidden/>
              </w:rPr>
              <w:instrText xml:space="preserve"> PAGEREF _Toc526876305 \h </w:instrText>
            </w:r>
            <w:r w:rsidR="00BC5638">
              <w:rPr>
                <w:noProof/>
                <w:webHidden/>
              </w:rPr>
            </w:r>
            <w:r w:rsidR="00BC5638">
              <w:rPr>
                <w:noProof/>
                <w:webHidden/>
              </w:rPr>
              <w:fldChar w:fldCharType="separate"/>
            </w:r>
            <w:r w:rsidR="000D00B5">
              <w:rPr>
                <w:noProof/>
                <w:webHidden/>
              </w:rPr>
              <w:t>8</w:t>
            </w:r>
            <w:r w:rsidR="00BC5638">
              <w:rPr>
                <w:noProof/>
                <w:webHidden/>
              </w:rPr>
              <w:fldChar w:fldCharType="end"/>
            </w:r>
          </w:hyperlink>
        </w:p>
        <w:p w14:paraId="2F733FB8" w14:textId="77777777" w:rsidR="00BC5638" w:rsidRDefault="00A308F5">
          <w:pPr>
            <w:pStyle w:val="TOC3"/>
            <w:tabs>
              <w:tab w:val="right" w:leader="dot" w:pos="9017"/>
            </w:tabs>
            <w:rPr>
              <w:rFonts w:eastAsiaTheme="minorEastAsia"/>
              <w:noProof/>
            </w:rPr>
          </w:pPr>
          <w:hyperlink w:anchor="_Toc526876306" w:history="1">
            <w:r w:rsidR="00BC5638" w:rsidRPr="00345B1D">
              <w:rPr>
                <w:rStyle w:val="Hyperlink"/>
                <w:noProof/>
              </w:rPr>
              <w:t>Targets</w:t>
            </w:r>
            <w:r w:rsidR="00BC5638">
              <w:rPr>
                <w:noProof/>
                <w:webHidden/>
              </w:rPr>
              <w:tab/>
            </w:r>
            <w:r w:rsidR="00BC5638">
              <w:rPr>
                <w:noProof/>
                <w:webHidden/>
              </w:rPr>
              <w:fldChar w:fldCharType="begin"/>
            </w:r>
            <w:r w:rsidR="00BC5638">
              <w:rPr>
                <w:noProof/>
                <w:webHidden/>
              </w:rPr>
              <w:instrText xml:space="preserve"> PAGEREF _Toc526876306 \h </w:instrText>
            </w:r>
            <w:r w:rsidR="00BC5638">
              <w:rPr>
                <w:noProof/>
                <w:webHidden/>
              </w:rPr>
            </w:r>
            <w:r w:rsidR="00BC5638">
              <w:rPr>
                <w:noProof/>
                <w:webHidden/>
              </w:rPr>
              <w:fldChar w:fldCharType="separate"/>
            </w:r>
            <w:r w:rsidR="000D00B5">
              <w:rPr>
                <w:noProof/>
                <w:webHidden/>
              </w:rPr>
              <w:t>9</w:t>
            </w:r>
            <w:r w:rsidR="00BC5638">
              <w:rPr>
                <w:noProof/>
                <w:webHidden/>
              </w:rPr>
              <w:fldChar w:fldCharType="end"/>
            </w:r>
          </w:hyperlink>
        </w:p>
        <w:p w14:paraId="73602FB0" w14:textId="77777777" w:rsidR="00BC5638" w:rsidRDefault="00A308F5">
          <w:pPr>
            <w:pStyle w:val="TOC3"/>
            <w:tabs>
              <w:tab w:val="right" w:leader="dot" w:pos="9017"/>
            </w:tabs>
            <w:rPr>
              <w:rFonts w:eastAsiaTheme="minorEastAsia"/>
              <w:noProof/>
            </w:rPr>
          </w:pPr>
          <w:hyperlink w:anchor="_Toc526876307" w:history="1">
            <w:r w:rsidR="00BC5638" w:rsidRPr="00345B1D">
              <w:rPr>
                <w:rStyle w:val="Hyperlink"/>
                <w:noProof/>
              </w:rPr>
              <w:t>Prioritized finance solutions</w:t>
            </w:r>
            <w:r w:rsidR="00BC5638">
              <w:rPr>
                <w:noProof/>
                <w:webHidden/>
              </w:rPr>
              <w:tab/>
            </w:r>
            <w:r w:rsidR="00BC5638">
              <w:rPr>
                <w:noProof/>
                <w:webHidden/>
              </w:rPr>
              <w:fldChar w:fldCharType="begin"/>
            </w:r>
            <w:r w:rsidR="00BC5638">
              <w:rPr>
                <w:noProof/>
                <w:webHidden/>
              </w:rPr>
              <w:instrText xml:space="preserve"> PAGEREF _Toc526876307 \h </w:instrText>
            </w:r>
            <w:r w:rsidR="00BC5638">
              <w:rPr>
                <w:noProof/>
                <w:webHidden/>
              </w:rPr>
            </w:r>
            <w:r w:rsidR="00BC5638">
              <w:rPr>
                <w:noProof/>
                <w:webHidden/>
              </w:rPr>
              <w:fldChar w:fldCharType="separate"/>
            </w:r>
            <w:r w:rsidR="000D00B5">
              <w:rPr>
                <w:noProof/>
                <w:webHidden/>
              </w:rPr>
              <w:t>9</w:t>
            </w:r>
            <w:r w:rsidR="00BC5638">
              <w:rPr>
                <w:noProof/>
                <w:webHidden/>
              </w:rPr>
              <w:fldChar w:fldCharType="end"/>
            </w:r>
          </w:hyperlink>
        </w:p>
        <w:p w14:paraId="4C125578" w14:textId="77777777" w:rsidR="00BC5638" w:rsidRDefault="00A308F5">
          <w:pPr>
            <w:pStyle w:val="TOC3"/>
            <w:tabs>
              <w:tab w:val="right" w:leader="dot" w:pos="9017"/>
            </w:tabs>
            <w:rPr>
              <w:rFonts w:eastAsiaTheme="minorEastAsia"/>
              <w:noProof/>
            </w:rPr>
          </w:pPr>
          <w:hyperlink w:anchor="_Toc526876308" w:history="1">
            <w:r w:rsidR="00BC5638" w:rsidRPr="00345B1D">
              <w:rPr>
                <w:rStyle w:val="Hyperlink"/>
                <w:noProof/>
              </w:rPr>
              <w:t>Linking the goals, objectives and targets</w:t>
            </w:r>
            <w:r w:rsidR="00BC5638">
              <w:rPr>
                <w:noProof/>
                <w:webHidden/>
              </w:rPr>
              <w:tab/>
            </w:r>
            <w:r w:rsidR="00BC5638">
              <w:rPr>
                <w:noProof/>
                <w:webHidden/>
              </w:rPr>
              <w:fldChar w:fldCharType="begin"/>
            </w:r>
            <w:r w:rsidR="00BC5638">
              <w:rPr>
                <w:noProof/>
                <w:webHidden/>
              </w:rPr>
              <w:instrText xml:space="preserve"> PAGEREF _Toc526876308 \h </w:instrText>
            </w:r>
            <w:r w:rsidR="00BC5638">
              <w:rPr>
                <w:noProof/>
                <w:webHidden/>
              </w:rPr>
            </w:r>
            <w:r w:rsidR="00BC5638">
              <w:rPr>
                <w:noProof/>
                <w:webHidden/>
              </w:rPr>
              <w:fldChar w:fldCharType="separate"/>
            </w:r>
            <w:r w:rsidR="000D00B5">
              <w:rPr>
                <w:noProof/>
                <w:webHidden/>
              </w:rPr>
              <w:t>10</w:t>
            </w:r>
            <w:r w:rsidR="00BC5638">
              <w:rPr>
                <w:noProof/>
                <w:webHidden/>
              </w:rPr>
              <w:fldChar w:fldCharType="end"/>
            </w:r>
          </w:hyperlink>
        </w:p>
        <w:p w14:paraId="7665B109" w14:textId="77777777" w:rsidR="00BC5638" w:rsidRDefault="00A308F5">
          <w:pPr>
            <w:pStyle w:val="TOC3"/>
            <w:tabs>
              <w:tab w:val="right" w:leader="dot" w:pos="9017"/>
            </w:tabs>
            <w:rPr>
              <w:rFonts w:eastAsiaTheme="minorEastAsia"/>
              <w:noProof/>
            </w:rPr>
          </w:pPr>
          <w:hyperlink w:anchor="_Toc526876309" w:history="1">
            <w:r w:rsidR="00BC5638" w:rsidRPr="00345B1D">
              <w:rPr>
                <w:rStyle w:val="Hyperlink"/>
                <w:noProof/>
              </w:rPr>
              <w:t>The solutions mix</w:t>
            </w:r>
            <w:r w:rsidR="00BC5638">
              <w:rPr>
                <w:noProof/>
                <w:webHidden/>
              </w:rPr>
              <w:tab/>
            </w:r>
            <w:r w:rsidR="00BC5638">
              <w:rPr>
                <w:noProof/>
                <w:webHidden/>
              </w:rPr>
              <w:fldChar w:fldCharType="begin"/>
            </w:r>
            <w:r w:rsidR="00BC5638">
              <w:rPr>
                <w:noProof/>
                <w:webHidden/>
              </w:rPr>
              <w:instrText xml:space="preserve"> PAGEREF _Toc526876309 \h </w:instrText>
            </w:r>
            <w:r w:rsidR="00BC5638">
              <w:rPr>
                <w:noProof/>
                <w:webHidden/>
              </w:rPr>
            </w:r>
            <w:r w:rsidR="00BC5638">
              <w:rPr>
                <w:noProof/>
                <w:webHidden/>
              </w:rPr>
              <w:fldChar w:fldCharType="separate"/>
            </w:r>
            <w:r w:rsidR="000D00B5">
              <w:rPr>
                <w:noProof/>
                <w:webHidden/>
              </w:rPr>
              <w:t>12</w:t>
            </w:r>
            <w:r w:rsidR="00BC5638">
              <w:rPr>
                <w:noProof/>
                <w:webHidden/>
              </w:rPr>
              <w:fldChar w:fldCharType="end"/>
            </w:r>
          </w:hyperlink>
        </w:p>
        <w:p w14:paraId="36459B4F" w14:textId="77777777" w:rsidR="00BC5638" w:rsidRDefault="00A308F5">
          <w:pPr>
            <w:pStyle w:val="TOC2"/>
            <w:tabs>
              <w:tab w:val="right" w:leader="dot" w:pos="9017"/>
            </w:tabs>
            <w:rPr>
              <w:rFonts w:eastAsiaTheme="minorEastAsia"/>
              <w:noProof/>
            </w:rPr>
          </w:pPr>
          <w:hyperlink w:anchor="_Toc526876310" w:history="1">
            <w:r w:rsidR="00BC5638" w:rsidRPr="00345B1D">
              <w:rPr>
                <w:rStyle w:val="Hyperlink"/>
                <w:noProof/>
              </w:rPr>
              <w:t>3. Finance Solutions</w:t>
            </w:r>
            <w:r w:rsidR="00BC5638">
              <w:rPr>
                <w:noProof/>
                <w:webHidden/>
              </w:rPr>
              <w:tab/>
            </w:r>
            <w:r w:rsidR="00BC5638">
              <w:rPr>
                <w:noProof/>
                <w:webHidden/>
              </w:rPr>
              <w:fldChar w:fldCharType="begin"/>
            </w:r>
            <w:r w:rsidR="00BC5638">
              <w:rPr>
                <w:noProof/>
                <w:webHidden/>
              </w:rPr>
              <w:instrText xml:space="preserve"> PAGEREF _Toc526876310 \h </w:instrText>
            </w:r>
            <w:r w:rsidR="00BC5638">
              <w:rPr>
                <w:noProof/>
                <w:webHidden/>
              </w:rPr>
            </w:r>
            <w:r w:rsidR="00BC5638">
              <w:rPr>
                <w:noProof/>
                <w:webHidden/>
              </w:rPr>
              <w:fldChar w:fldCharType="separate"/>
            </w:r>
            <w:r w:rsidR="000D00B5">
              <w:rPr>
                <w:noProof/>
                <w:webHidden/>
              </w:rPr>
              <w:t>13</w:t>
            </w:r>
            <w:r w:rsidR="00BC5638">
              <w:rPr>
                <w:noProof/>
                <w:webHidden/>
              </w:rPr>
              <w:fldChar w:fldCharType="end"/>
            </w:r>
          </w:hyperlink>
        </w:p>
        <w:p w14:paraId="2763F50D" w14:textId="77777777" w:rsidR="00BC5638" w:rsidRDefault="00A308F5">
          <w:pPr>
            <w:pStyle w:val="TOC2"/>
            <w:tabs>
              <w:tab w:val="right" w:leader="dot" w:pos="9017"/>
            </w:tabs>
            <w:rPr>
              <w:rFonts w:eastAsiaTheme="minorEastAsia"/>
              <w:noProof/>
            </w:rPr>
          </w:pPr>
          <w:hyperlink w:anchor="_Toc526876311" w:history="1">
            <w:r w:rsidR="00BC5638" w:rsidRPr="00345B1D">
              <w:rPr>
                <w:rStyle w:val="Hyperlink"/>
                <w:noProof/>
              </w:rPr>
              <w:t>4. Summary of the Action Plan</w:t>
            </w:r>
            <w:r w:rsidR="00BC5638">
              <w:rPr>
                <w:noProof/>
                <w:webHidden/>
              </w:rPr>
              <w:tab/>
            </w:r>
            <w:r w:rsidR="00BC5638">
              <w:rPr>
                <w:noProof/>
                <w:webHidden/>
              </w:rPr>
              <w:fldChar w:fldCharType="begin"/>
            </w:r>
            <w:r w:rsidR="00BC5638">
              <w:rPr>
                <w:noProof/>
                <w:webHidden/>
              </w:rPr>
              <w:instrText xml:space="preserve"> PAGEREF _Toc526876311 \h </w:instrText>
            </w:r>
            <w:r w:rsidR="00BC5638">
              <w:rPr>
                <w:noProof/>
                <w:webHidden/>
              </w:rPr>
            </w:r>
            <w:r w:rsidR="00BC5638">
              <w:rPr>
                <w:noProof/>
                <w:webHidden/>
              </w:rPr>
              <w:fldChar w:fldCharType="separate"/>
            </w:r>
            <w:r w:rsidR="000D00B5">
              <w:rPr>
                <w:noProof/>
                <w:webHidden/>
              </w:rPr>
              <w:t>57</w:t>
            </w:r>
            <w:r w:rsidR="00BC5638">
              <w:rPr>
                <w:noProof/>
                <w:webHidden/>
              </w:rPr>
              <w:fldChar w:fldCharType="end"/>
            </w:r>
          </w:hyperlink>
        </w:p>
        <w:p w14:paraId="40BCB4E9" w14:textId="77777777" w:rsidR="00BC5638" w:rsidRDefault="00A308F5">
          <w:pPr>
            <w:pStyle w:val="TOC2"/>
            <w:tabs>
              <w:tab w:val="right" w:leader="dot" w:pos="9017"/>
            </w:tabs>
            <w:rPr>
              <w:rStyle w:val="Hyperlink"/>
              <w:noProof/>
            </w:rPr>
          </w:pPr>
          <w:hyperlink w:anchor="_Toc526876312" w:history="1">
            <w:r w:rsidR="00BC5638" w:rsidRPr="00345B1D">
              <w:rPr>
                <w:rStyle w:val="Hyperlink"/>
                <w:noProof/>
              </w:rPr>
              <w:t>5. Summary of the Finances</w:t>
            </w:r>
            <w:r w:rsidR="00BC5638">
              <w:rPr>
                <w:noProof/>
                <w:webHidden/>
              </w:rPr>
              <w:tab/>
            </w:r>
            <w:r w:rsidR="00BC5638">
              <w:rPr>
                <w:noProof/>
                <w:webHidden/>
              </w:rPr>
              <w:fldChar w:fldCharType="begin"/>
            </w:r>
            <w:r w:rsidR="00BC5638">
              <w:rPr>
                <w:noProof/>
                <w:webHidden/>
              </w:rPr>
              <w:instrText xml:space="preserve"> PAGEREF _Toc526876312 \h </w:instrText>
            </w:r>
            <w:r w:rsidR="00BC5638">
              <w:rPr>
                <w:noProof/>
                <w:webHidden/>
              </w:rPr>
            </w:r>
            <w:r w:rsidR="00BC5638">
              <w:rPr>
                <w:noProof/>
                <w:webHidden/>
              </w:rPr>
              <w:fldChar w:fldCharType="separate"/>
            </w:r>
            <w:r w:rsidR="000D00B5">
              <w:rPr>
                <w:noProof/>
                <w:webHidden/>
              </w:rPr>
              <w:t>65</w:t>
            </w:r>
            <w:r w:rsidR="00BC5638">
              <w:rPr>
                <w:noProof/>
                <w:webHidden/>
              </w:rPr>
              <w:fldChar w:fldCharType="end"/>
            </w:r>
          </w:hyperlink>
        </w:p>
        <w:p w14:paraId="4DB73E84" w14:textId="77777777" w:rsidR="00BC5638" w:rsidRPr="00BC5638" w:rsidRDefault="00BC5638" w:rsidP="00BC5638">
          <w:pPr>
            <w:rPr>
              <w:noProof/>
            </w:rPr>
          </w:pPr>
        </w:p>
        <w:p w14:paraId="22752989" w14:textId="77777777" w:rsidR="00BC5638" w:rsidRDefault="00A308F5">
          <w:pPr>
            <w:pStyle w:val="TOC1"/>
            <w:tabs>
              <w:tab w:val="right" w:leader="dot" w:pos="9017"/>
            </w:tabs>
            <w:rPr>
              <w:rFonts w:eastAsiaTheme="minorEastAsia"/>
              <w:noProof/>
            </w:rPr>
          </w:pPr>
          <w:hyperlink w:anchor="_Toc526876313" w:history="1">
            <w:r w:rsidR="00BC5638" w:rsidRPr="00345B1D">
              <w:rPr>
                <w:rStyle w:val="Hyperlink"/>
                <w:noProof/>
              </w:rPr>
              <w:t>ANNEX</w:t>
            </w:r>
            <w:r w:rsidR="00BC5638">
              <w:rPr>
                <w:noProof/>
                <w:webHidden/>
              </w:rPr>
              <w:tab/>
            </w:r>
            <w:r w:rsidR="00BC5638">
              <w:rPr>
                <w:noProof/>
                <w:webHidden/>
              </w:rPr>
              <w:fldChar w:fldCharType="begin"/>
            </w:r>
            <w:r w:rsidR="00BC5638">
              <w:rPr>
                <w:noProof/>
                <w:webHidden/>
              </w:rPr>
              <w:instrText xml:space="preserve"> PAGEREF _Toc526876313 \h </w:instrText>
            </w:r>
            <w:r w:rsidR="00BC5638">
              <w:rPr>
                <w:noProof/>
                <w:webHidden/>
              </w:rPr>
            </w:r>
            <w:r w:rsidR="00BC5638">
              <w:rPr>
                <w:noProof/>
                <w:webHidden/>
              </w:rPr>
              <w:fldChar w:fldCharType="separate"/>
            </w:r>
            <w:r w:rsidR="000D00B5">
              <w:rPr>
                <w:noProof/>
                <w:webHidden/>
              </w:rPr>
              <w:t>66</w:t>
            </w:r>
            <w:r w:rsidR="00BC5638">
              <w:rPr>
                <w:noProof/>
                <w:webHidden/>
              </w:rPr>
              <w:fldChar w:fldCharType="end"/>
            </w:r>
          </w:hyperlink>
        </w:p>
        <w:p w14:paraId="38C53189" w14:textId="77777777" w:rsidR="008B7E9D" w:rsidRDefault="008B7E9D">
          <w:r>
            <w:rPr>
              <w:b/>
              <w:bCs/>
              <w:noProof/>
            </w:rPr>
            <w:fldChar w:fldCharType="end"/>
          </w:r>
        </w:p>
      </w:sdtContent>
    </w:sdt>
    <w:p w14:paraId="000A30A3" w14:textId="77777777" w:rsidR="008B7E9D" w:rsidRDefault="008B7E9D" w:rsidP="00F4186E">
      <w:pPr>
        <w:jc w:val="both"/>
      </w:pPr>
    </w:p>
    <w:p w14:paraId="6E84DC4D" w14:textId="7A047978" w:rsidR="0056794E" w:rsidRDefault="0056794E">
      <w:r>
        <w:br w:type="page"/>
      </w:r>
    </w:p>
    <w:p w14:paraId="7E6792BF" w14:textId="77777777" w:rsidR="00785AD9" w:rsidRPr="00987903" w:rsidRDefault="00785AD9" w:rsidP="00785AD9">
      <w:pPr>
        <w:spacing w:after="0" w:line="276" w:lineRule="auto"/>
        <w:jc w:val="both"/>
        <w:rPr>
          <w:color w:val="808080" w:themeColor="background1" w:themeShade="80"/>
          <w:sz w:val="36"/>
          <w:szCs w:val="36"/>
        </w:rPr>
      </w:pPr>
      <w:r w:rsidRPr="00987903">
        <w:rPr>
          <w:color w:val="808080" w:themeColor="background1" w:themeShade="80"/>
          <w:sz w:val="36"/>
          <w:szCs w:val="36"/>
        </w:rPr>
        <w:t>TABLES</w:t>
      </w:r>
    </w:p>
    <w:p w14:paraId="6675AEAF" w14:textId="77777777" w:rsidR="00785AD9" w:rsidRDefault="00785AD9" w:rsidP="00785AD9">
      <w:pPr>
        <w:spacing w:after="0" w:line="276" w:lineRule="auto"/>
        <w:ind w:left="720" w:hanging="436"/>
      </w:pPr>
      <w:r w:rsidRPr="00987903">
        <w:t>Table 1: National Environmental Plans 2018-2024</w:t>
      </w:r>
      <w:r>
        <w:t xml:space="preserve"> (5)</w:t>
      </w:r>
    </w:p>
    <w:p w14:paraId="4BBB4ECF" w14:textId="77777777" w:rsidR="00785AD9" w:rsidRDefault="00785AD9" w:rsidP="00785AD9">
      <w:pPr>
        <w:spacing w:after="0" w:line="276" w:lineRule="auto"/>
        <w:ind w:left="720" w:hanging="436"/>
      </w:pPr>
      <w:r w:rsidRPr="00A817A9">
        <w:t>Table 2: National Biodiversity Strategic Action Plan: Objectives and Targets</w:t>
      </w:r>
      <w:r>
        <w:t xml:space="preserve"> (6)</w:t>
      </w:r>
    </w:p>
    <w:p w14:paraId="6BCB2FDE" w14:textId="77777777" w:rsidR="00785AD9" w:rsidRDefault="00785AD9" w:rsidP="00785AD9">
      <w:pPr>
        <w:spacing w:after="0" w:line="276" w:lineRule="auto"/>
        <w:ind w:left="720" w:hanging="436"/>
      </w:pPr>
      <w:r w:rsidRPr="00A817A9">
        <w:t>Table 3: Prioritized Finance Solutions, Ranked from highest to the lower Score</w:t>
      </w:r>
      <w:r>
        <w:t xml:space="preserve"> (9)</w:t>
      </w:r>
    </w:p>
    <w:p w14:paraId="6CF83B3A" w14:textId="77777777" w:rsidR="00785AD9" w:rsidRDefault="00785AD9" w:rsidP="00785AD9">
      <w:pPr>
        <w:spacing w:after="0" w:line="276" w:lineRule="auto"/>
        <w:ind w:left="720" w:hanging="436"/>
      </w:pPr>
      <w:r w:rsidRPr="00302A8D">
        <w:t>Table 4: Resource Mobilization Target</w:t>
      </w:r>
      <w:r>
        <w:t>s as per Assessment (10</w:t>
      </w:r>
      <w:r w:rsidRPr="00302A8D">
        <w:t>)</w:t>
      </w:r>
    </w:p>
    <w:p w14:paraId="0A050959" w14:textId="77777777" w:rsidR="00785AD9" w:rsidRDefault="00785AD9" w:rsidP="00785AD9">
      <w:pPr>
        <w:spacing w:after="0" w:line="276" w:lineRule="auto"/>
        <w:ind w:left="720" w:hanging="436"/>
      </w:pPr>
      <w:r w:rsidRPr="00302A8D">
        <w:t>Table 5: Prioritized Finance Solutions: Budget and Financial Result</w:t>
      </w:r>
      <w:r>
        <w:t xml:space="preserve"> (65)</w:t>
      </w:r>
    </w:p>
    <w:p w14:paraId="7E4456BF" w14:textId="77777777" w:rsidR="00785AD9" w:rsidRDefault="00785AD9" w:rsidP="00785AD9">
      <w:pPr>
        <w:spacing w:after="0" w:line="276" w:lineRule="auto"/>
      </w:pPr>
    </w:p>
    <w:p w14:paraId="1EC0DF2A" w14:textId="77777777" w:rsidR="00785AD9" w:rsidRPr="00987903" w:rsidRDefault="00785AD9" w:rsidP="00785AD9">
      <w:pPr>
        <w:spacing w:after="0" w:line="276" w:lineRule="auto"/>
        <w:jc w:val="both"/>
        <w:rPr>
          <w:color w:val="808080" w:themeColor="background1" w:themeShade="80"/>
          <w:sz w:val="36"/>
          <w:szCs w:val="36"/>
        </w:rPr>
      </w:pPr>
      <w:r>
        <w:rPr>
          <w:color w:val="808080" w:themeColor="background1" w:themeShade="80"/>
          <w:sz w:val="36"/>
          <w:szCs w:val="36"/>
        </w:rPr>
        <w:t>FIGURES</w:t>
      </w:r>
    </w:p>
    <w:p w14:paraId="683E18CF" w14:textId="77777777" w:rsidR="00785AD9" w:rsidRDefault="00785AD9" w:rsidP="00785AD9">
      <w:pPr>
        <w:spacing w:after="0" w:line="276" w:lineRule="auto"/>
        <w:ind w:left="720" w:hanging="436"/>
      </w:pPr>
      <w:r w:rsidRPr="00302A8D">
        <w:t>Figure 1: Tourist Arrivals 2008-2017</w:t>
      </w:r>
      <w:r>
        <w:t xml:space="preserve"> (13)</w:t>
      </w:r>
    </w:p>
    <w:p w14:paraId="314AB323" w14:textId="77777777" w:rsidR="00785AD9" w:rsidRDefault="00785AD9" w:rsidP="00785AD9">
      <w:pPr>
        <w:spacing w:after="0" w:line="276" w:lineRule="auto"/>
        <w:ind w:left="720" w:hanging="436"/>
      </w:pPr>
      <w:r w:rsidRPr="00302A8D">
        <w:t xml:space="preserve">Figure 2: Plant </w:t>
      </w:r>
      <w:r>
        <w:t>Factor of Major Hydro Power S</w:t>
      </w:r>
      <w:r w:rsidRPr="00302A8D">
        <w:t>tations 2016</w:t>
      </w:r>
      <w:r>
        <w:t xml:space="preserve"> (30)</w:t>
      </w:r>
    </w:p>
    <w:p w14:paraId="19C71BCF" w14:textId="77777777" w:rsidR="00785AD9" w:rsidRDefault="00785AD9" w:rsidP="00785AD9">
      <w:pPr>
        <w:spacing w:after="0" w:line="276" w:lineRule="auto"/>
        <w:ind w:left="720" w:hanging="436"/>
      </w:pPr>
      <w:r w:rsidRPr="00302A8D">
        <w:t>Figure 3: Tourist Guest Nights, 2010 and 2017</w:t>
      </w:r>
      <w:r>
        <w:t xml:space="preserve"> (38)</w:t>
      </w:r>
    </w:p>
    <w:p w14:paraId="0682A2BA" w14:textId="77777777" w:rsidR="00785AD9" w:rsidRDefault="00785AD9" w:rsidP="00785AD9">
      <w:pPr>
        <w:spacing w:after="0" w:line="276" w:lineRule="auto"/>
      </w:pPr>
    </w:p>
    <w:p w14:paraId="5CA97AD5" w14:textId="77777777" w:rsidR="00785AD9" w:rsidRPr="00987903" w:rsidRDefault="00785AD9" w:rsidP="00785AD9">
      <w:pPr>
        <w:spacing w:after="0" w:line="276" w:lineRule="auto"/>
        <w:jc w:val="both"/>
        <w:rPr>
          <w:sz w:val="14"/>
          <w:szCs w:val="14"/>
        </w:rPr>
      </w:pPr>
      <w:r w:rsidRPr="00987903">
        <w:rPr>
          <w:color w:val="808080" w:themeColor="background1" w:themeShade="80"/>
          <w:sz w:val="36"/>
          <w:szCs w:val="36"/>
        </w:rPr>
        <w:t>BOXES</w:t>
      </w:r>
    </w:p>
    <w:p w14:paraId="6CDA1F3C" w14:textId="77777777" w:rsidR="00785AD9" w:rsidRDefault="00785AD9" w:rsidP="00785AD9">
      <w:pPr>
        <w:pStyle w:val="ListParagraph"/>
        <w:numPr>
          <w:ilvl w:val="0"/>
          <w:numId w:val="33"/>
        </w:numPr>
        <w:spacing w:after="0" w:line="276" w:lineRule="auto"/>
        <w:jc w:val="both"/>
      </w:pPr>
      <w:r w:rsidRPr="00CE1E35">
        <w:t>Generic description of the Prioritized finance solutions</w:t>
      </w:r>
      <w:r>
        <w:t xml:space="preserve"> (11)</w:t>
      </w:r>
    </w:p>
    <w:p w14:paraId="06ED232E" w14:textId="77777777" w:rsidR="00785AD9" w:rsidRDefault="00785AD9" w:rsidP="00785AD9">
      <w:pPr>
        <w:pStyle w:val="ListParagraph"/>
        <w:numPr>
          <w:ilvl w:val="0"/>
          <w:numId w:val="33"/>
        </w:numPr>
        <w:spacing w:after="0" w:line="276" w:lineRule="auto"/>
        <w:jc w:val="both"/>
      </w:pPr>
      <w:r>
        <w:t>“Best Green Bank” (19)</w:t>
      </w:r>
    </w:p>
    <w:p w14:paraId="526B6238" w14:textId="77777777" w:rsidR="00785AD9" w:rsidRDefault="00785AD9" w:rsidP="00785AD9">
      <w:pPr>
        <w:pStyle w:val="ListParagraph"/>
        <w:numPr>
          <w:ilvl w:val="0"/>
          <w:numId w:val="33"/>
        </w:numPr>
        <w:spacing w:after="0" w:line="276" w:lineRule="auto"/>
        <w:jc w:val="both"/>
      </w:pPr>
      <w:r>
        <w:t>Biodiversity Sri Lanka (21)</w:t>
      </w:r>
    </w:p>
    <w:p w14:paraId="7CA3D542" w14:textId="77777777" w:rsidR="00785AD9" w:rsidRDefault="00785AD9" w:rsidP="00785AD9">
      <w:pPr>
        <w:pStyle w:val="ListParagraph"/>
        <w:numPr>
          <w:ilvl w:val="0"/>
          <w:numId w:val="33"/>
        </w:numPr>
        <w:spacing w:after="0" w:line="276" w:lineRule="auto"/>
        <w:jc w:val="both"/>
      </w:pPr>
      <w:r>
        <w:t>Dutch Postcode Lottery (25)</w:t>
      </w:r>
    </w:p>
    <w:p w14:paraId="343939CA" w14:textId="77777777" w:rsidR="00785AD9" w:rsidRDefault="00785AD9" w:rsidP="00785AD9">
      <w:pPr>
        <w:pStyle w:val="ListParagraph"/>
        <w:numPr>
          <w:ilvl w:val="0"/>
          <w:numId w:val="33"/>
        </w:numPr>
        <w:spacing w:after="0" w:line="276" w:lineRule="auto"/>
        <w:jc w:val="both"/>
      </w:pPr>
      <w:r>
        <w:t>Booming Green Bonds (36)</w:t>
      </w:r>
    </w:p>
    <w:p w14:paraId="126ADB1E" w14:textId="77777777" w:rsidR="00785AD9" w:rsidRDefault="00785AD9" w:rsidP="00785AD9">
      <w:pPr>
        <w:pStyle w:val="ListParagraph"/>
        <w:numPr>
          <w:ilvl w:val="0"/>
          <w:numId w:val="33"/>
        </w:numPr>
        <w:spacing w:after="0" w:line="276" w:lineRule="auto"/>
        <w:jc w:val="both"/>
      </w:pPr>
      <w:r>
        <w:t>Green License Plates in Canada (42)</w:t>
      </w:r>
    </w:p>
    <w:p w14:paraId="2864D47C" w14:textId="77777777" w:rsidR="00785AD9" w:rsidRDefault="00785AD9" w:rsidP="00785AD9">
      <w:pPr>
        <w:pStyle w:val="ListParagraph"/>
        <w:numPr>
          <w:ilvl w:val="0"/>
          <w:numId w:val="33"/>
        </w:numPr>
        <w:spacing w:after="0" w:line="276" w:lineRule="auto"/>
        <w:jc w:val="both"/>
      </w:pPr>
      <w:r>
        <w:t>Sri Lanka’s Biodiversity Expenditure (49)</w:t>
      </w:r>
    </w:p>
    <w:p w14:paraId="3F385092" w14:textId="77777777" w:rsidR="00785AD9" w:rsidRDefault="00785AD9" w:rsidP="00785AD9">
      <w:pPr>
        <w:spacing w:after="0" w:line="276" w:lineRule="auto"/>
        <w:ind w:firstLine="720"/>
      </w:pPr>
    </w:p>
    <w:p w14:paraId="6E77BB5E" w14:textId="77777777" w:rsidR="00785AD9" w:rsidRPr="00987903" w:rsidRDefault="00785AD9" w:rsidP="00785AD9">
      <w:pPr>
        <w:spacing w:after="0" w:line="276" w:lineRule="auto"/>
        <w:jc w:val="both"/>
        <w:rPr>
          <w:color w:val="808080" w:themeColor="background1" w:themeShade="80"/>
          <w:sz w:val="36"/>
          <w:szCs w:val="36"/>
        </w:rPr>
      </w:pPr>
      <w:r w:rsidRPr="00987903">
        <w:rPr>
          <w:color w:val="808080" w:themeColor="background1" w:themeShade="80"/>
          <w:sz w:val="36"/>
          <w:szCs w:val="36"/>
        </w:rPr>
        <w:t>PICTURES</w:t>
      </w:r>
    </w:p>
    <w:p w14:paraId="025BE62F" w14:textId="77777777" w:rsidR="00785AD9" w:rsidRDefault="00785AD9" w:rsidP="00785AD9">
      <w:pPr>
        <w:pStyle w:val="ListParagraph"/>
        <w:numPr>
          <w:ilvl w:val="0"/>
          <w:numId w:val="34"/>
        </w:numPr>
        <w:spacing w:after="0" w:line="276" w:lineRule="auto"/>
      </w:pPr>
      <w:r w:rsidRPr="00302A8D">
        <w:t>Wildlife under Pressure</w:t>
      </w:r>
      <w:r>
        <w:t xml:space="preserve"> (39)</w:t>
      </w:r>
    </w:p>
    <w:p w14:paraId="1A9A553F" w14:textId="77777777" w:rsidR="00785AD9" w:rsidRDefault="00785AD9" w:rsidP="00785AD9">
      <w:pPr>
        <w:pStyle w:val="ListParagraph"/>
        <w:numPr>
          <w:ilvl w:val="0"/>
          <w:numId w:val="34"/>
        </w:numPr>
        <w:spacing w:after="0" w:line="276" w:lineRule="auto"/>
      </w:pPr>
      <w:r w:rsidRPr="00302A8D">
        <w:t>Wildlife under Threat</w:t>
      </w:r>
      <w:r>
        <w:t xml:space="preserve"> (54)</w:t>
      </w:r>
    </w:p>
    <w:p w14:paraId="3465A3FE" w14:textId="77777777" w:rsidR="00CE1E35" w:rsidRDefault="00CE1E35" w:rsidP="00F4186E">
      <w:pPr>
        <w:jc w:val="both"/>
      </w:pPr>
    </w:p>
    <w:p w14:paraId="77FE34B5" w14:textId="77777777" w:rsidR="00290BC0" w:rsidRDefault="00290BC0">
      <w:r>
        <w:br w:type="page"/>
      </w:r>
    </w:p>
    <w:p w14:paraId="54E9075B" w14:textId="77777777" w:rsidR="00691059" w:rsidRDefault="00691059"/>
    <w:p w14:paraId="0C51050C" w14:textId="77777777" w:rsidR="00691059" w:rsidRDefault="00691059"/>
    <w:p w14:paraId="45BDD099" w14:textId="77777777" w:rsidR="00290BC0" w:rsidRDefault="00290BC0" w:rsidP="00691059">
      <w:pPr>
        <w:pStyle w:val="Heading4"/>
      </w:pPr>
      <w:bookmarkStart w:id="1" w:name="_Toc526876292"/>
      <w:r>
        <w:t>ACKNOWLEDGEMENT</w:t>
      </w:r>
      <w:bookmarkEnd w:id="1"/>
    </w:p>
    <w:p w14:paraId="026ACDE9" w14:textId="3E78FD7F" w:rsidR="00DD647A" w:rsidRDefault="00DD647A" w:rsidP="000F303B">
      <w:pPr>
        <w:jc w:val="both"/>
      </w:pPr>
      <w:r>
        <w:t>Biodiversity Finance Plan (BFP) is the final document of the BIOFIN process in Sri Lanka</w:t>
      </w:r>
      <w:r w:rsidR="00A919CF">
        <w:t xml:space="preserve"> which </w:t>
      </w:r>
      <w:r w:rsidR="000F303B">
        <w:t>commenced</w:t>
      </w:r>
      <w:r w:rsidR="00A919CF">
        <w:t xml:space="preserve"> two years ago</w:t>
      </w:r>
      <w:r>
        <w:t xml:space="preserve">. The </w:t>
      </w:r>
      <w:r w:rsidR="00A919CF">
        <w:t xml:space="preserve">BFP was guided by four documents prepared by the BIOFIN team of the UNDP during the BIOFIN </w:t>
      </w:r>
      <w:r w:rsidR="000E07DD">
        <w:t>process: Inception Report, Policy and Institutional Review (PIR), Biodiversity Expenditure Review (BER) and, Financial Needs Assessment (FNA).</w:t>
      </w:r>
    </w:p>
    <w:p w14:paraId="12460A36" w14:textId="41945E06" w:rsidR="000E07DD" w:rsidRDefault="00ED2E36" w:rsidP="000F303B">
      <w:pPr>
        <w:jc w:val="both"/>
      </w:pPr>
      <w:r>
        <w:t>T</w:t>
      </w:r>
      <w:r w:rsidR="000E07DD">
        <w:t xml:space="preserve">he BFP was prepared by </w:t>
      </w:r>
      <w:r w:rsidR="00BC5638">
        <w:t xml:space="preserve">the BIOFIN </w:t>
      </w:r>
      <w:r w:rsidR="00F068A5">
        <w:t xml:space="preserve">Sri Lanka </w:t>
      </w:r>
      <w:r w:rsidR="00BC5638">
        <w:t xml:space="preserve">team led by </w:t>
      </w:r>
      <w:r w:rsidR="000E07DD">
        <w:t>Professor</w:t>
      </w:r>
      <w:r>
        <w:t xml:space="preserve"> </w:t>
      </w:r>
      <w:r w:rsidR="000E07DD">
        <w:t>Sirimal Abeyratne</w:t>
      </w:r>
      <w:r w:rsidR="00BC5638">
        <w:t xml:space="preserve">. The </w:t>
      </w:r>
      <w:r>
        <w:t xml:space="preserve">contributions to </w:t>
      </w:r>
      <w:r w:rsidR="008D7C38">
        <w:t xml:space="preserve">prepare </w:t>
      </w:r>
      <w:r>
        <w:t xml:space="preserve">the finance solutions were made by </w:t>
      </w:r>
      <w:r w:rsidR="008D7C38">
        <w:t>the following</w:t>
      </w:r>
      <w:r>
        <w:t xml:space="preserve"> team of expert</w:t>
      </w:r>
      <w:r w:rsidR="008D7C38">
        <w:t>s</w:t>
      </w:r>
      <w:r>
        <w:t xml:space="preserve">: Prof. K. Amirthalingam, Dr. Sahan Dissanayake, Mr. </w:t>
      </w:r>
      <w:proofErr w:type="spellStart"/>
      <w:r>
        <w:t>Eranda</w:t>
      </w:r>
      <w:proofErr w:type="spellEnd"/>
      <w:r>
        <w:t xml:space="preserve"> Gamage, Mr. M.S.A. Mubarak, Mr. </w:t>
      </w:r>
      <w:proofErr w:type="spellStart"/>
      <w:r>
        <w:t>Ranga</w:t>
      </w:r>
      <w:proofErr w:type="spellEnd"/>
      <w:r>
        <w:t xml:space="preserve"> </w:t>
      </w:r>
      <w:proofErr w:type="spellStart"/>
      <w:r>
        <w:t>Pallawala</w:t>
      </w:r>
      <w:proofErr w:type="spellEnd"/>
      <w:r>
        <w:t xml:space="preserve">, Ms. Dinushka Peiris, Mr. </w:t>
      </w:r>
      <w:proofErr w:type="spellStart"/>
      <w:r>
        <w:t>Adeesha</w:t>
      </w:r>
      <w:proofErr w:type="spellEnd"/>
      <w:r>
        <w:t xml:space="preserve"> Perera, Ms. Rajeeka </w:t>
      </w:r>
      <w:proofErr w:type="spellStart"/>
      <w:r>
        <w:t>Ranathunge</w:t>
      </w:r>
      <w:proofErr w:type="spellEnd"/>
      <w:r>
        <w:t xml:space="preserve">, Mr. Yohan </w:t>
      </w:r>
      <w:proofErr w:type="spellStart"/>
      <w:r>
        <w:t>Samarathunge</w:t>
      </w:r>
      <w:proofErr w:type="spellEnd"/>
      <w:r>
        <w:t xml:space="preserve">, Dr. </w:t>
      </w:r>
      <w:proofErr w:type="spellStart"/>
      <w:r>
        <w:t>Lakmini</w:t>
      </w:r>
      <w:proofErr w:type="spellEnd"/>
      <w:r>
        <w:t xml:space="preserve"> </w:t>
      </w:r>
      <w:proofErr w:type="spellStart"/>
      <w:r>
        <w:t>Senadeera</w:t>
      </w:r>
      <w:proofErr w:type="spellEnd"/>
      <w:r>
        <w:t xml:space="preserve">, Ms. Yashoda </w:t>
      </w:r>
      <w:proofErr w:type="spellStart"/>
      <w:r>
        <w:t>Senadeera</w:t>
      </w:r>
      <w:proofErr w:type="spellEnd"/>
      <w:r>
        <w:t>, Mr. Gamini Senanayake, Mr. Shamen Vidanage and, Mr. Ramitha Wijethunga.</w:t>
      </w:r>
    </w:p>
    <w:p w14:paraId="534F2C2D" w14:textId="3C3C4843" w:rsidR="00676328" w:rsidRDefault="00676328" w:rsidP="000F303B">
      <w:pPr>
        <w:jc w:val="both"/>
      </w:pPr>
      <w:r>
        <w:t>We extend our sincere thanks to the UNDP for conducting the BIOFIN process in Sri Lanka with its technical and financial assistance.</w:t>
      </w:r>
    </w:p>
    <w:p w14:paraId="21F884DB" w14:textId="1DF85F24" w:rsidR="001E6F91" w:rsidRDefault="001E6F91">
      <w:r>
        <w:br w:type="page"/>
      </w:r>
    </w:p>
    <w:p w14:paraId="560D7C68" w14:textId="77777777" w:rsidR="001E6F91" w:rsidRDefault="001E6F91" w:rsidP="006B7C62">
      <w:pPr>
        <w:pStyle w:val="Heading4"/>
      </w:pPr>
      <w:bookmarkStart w:id="2" w:name="_Toc526876293"/>
      <w:r w:rsidRPr="00966BA1">
        <w:t>ABREVIATIONS</w:t>
      </w:r>
      <w:r w:rsidR="00966BA1">
        <w:t xml:space="preserve"> &amp; ACRONYMS</w:t>
      </w:r>
      <w:bookmarkEnd w:id="2"/>
    </w:p>
    <w:p w14:paraId="5E6A87C2" w14:textId="77777777" w:rsidR="00966BA1" w:rsidRPr="00966BA1" w:rsidRDefault="00966BA1" w:rsidP="00966B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22"/>
      </w:tblGrid>
      <w:tr w:rsidR="00966BA1" w:rsidRPr="00A0107A" w14:paraId="4D2D9E8E" w14:textId="77777777" w:rsidTr="00966BA1">
        <w:trPr>
          <w:trHeight w:val="288"/>
        </w:trPr>
        <w:tc>
          <w:tcPr>
            <w:tcW w:w="1795" w:type="dxa"/>
            <w:vAlign w:val="center"/>
          </w:tcPr>
          <w:p w14:paraId="37E6FF7C" w14:textId="77777777" w:rsidR="00966BA1" w:rsidRPr="00A0107A" w:rsidRDefault="00966BA1" w:rsidP="00966BA1">
            <w:r w:rsidRPr="00A0107A">
              <w:t>ADB</w:t>
            </w:r>
          </w:p>
        </w:tc>
        <w:tc>
          <w:tcPr>
            <w:tcW w:w="7222" w:type="dxa"/>
            <w:vAlign w:val="center"/>
          </w:tcPr>
          <w:p w14:paraId="33E40201" w14:textId="77777777" w:rsidR="00966BA1" w:rsidRPr="00A0107A" w:rsidRDefault="00966BA1" w:rsidP="00966BA1">
            <w:r w:rsidRPr="00A0107A">
              <w:t>Asian Development Bank</w:t>
            </w:r>
          </w:p>
        </w:tc>
      </w:tr>
      <w:tr w:rsidR="00966BA1" w:rsidRPr="00A0107A" w14:paraId="3966E3CC" w14:textId="77777777" w:rsidTr="00966BA1">
        <w:trPr>
          <w:trHeight w:val="288"/>
        </w:trPr>
        <w:tc>
          <w:tcPr>
            <w:tcW w:w="1795" w:type="dxa"/>
            <w:vAlign w:val="center"/>
          </w:tcPr>
          <w:p w14:paraId="6A287E48" w14:textId="77777777" w:rsidR="00966BA1" w:rsidRPr="00A0107A" w:rsidRDefault="00966BA1" w:rsidP="00966BA1">
            <w:r w:rsidRPr="00A0107A">
              <w:t>BER</w:t>
            </w:r>
          </w:p>
        </w:tc>
        <w:tc>
          <w:tcPr>
            <w:tcW w:w="7222" w:type="dxa"/>
            <w:vAlign w:val="center"/>
          </w:tcPr>
          <w:p w14:paraId="2E81820C" w14:textId="77777777" w:rsidR="00966BA1" w:rsidRPr="00A0107A" w:rsidRDefault="00966BA1" w:rsidP="00966BA1">
            <w:r w:rsidRPr="00A0107A">
              <w:t>Biodiversity Expenditure Review</w:t>
            </w:r>
          </w:p>
        </w:tc>
      </w:tr>
      <w:tr w:rsidR="00966BA1" w:rsidRPr="00A0107A" w14:paraId="20AF7E55" w14:textId="77777777" w:rsidTr="00966BA1">
        <w:trPr>
          <w:trHeight w:val="288"/>
        </w:trPr>
        <w:tc>
          <w:tcPr>
            <w:tcW w:w="1795" w:type="dxa"/>
            <w:vAlign w:val="center"/>
          </w:tcPr>
          <w:p w14:paraId="3B3DCFFE" w14:textId="77777777" w:rsidR="00966BA1" w:rsidRPr="00A0107A" w:rsidRDefault="00966BA1" w:rsidP="00966BA1">
            <w:r w:rsidRPr="00A0107A">
              <w:t>BFP</w:t>
            </w:r>
          </w:p>
        </w:tc>
        <w:tc>
          <w:tcPr>
            <w:tcW w:w="7222" w:type="dxa"/>
            <w:vAlign w:val="center"/>
          </w:tcPr>
          <w:p w14:paraId="4D6116AB" w14:textId="77777777" w:rsidR="00966BA1" w:rsidRPr="00A0107A" w:rsidRDefault="00966BA1" w:rsidP="00966BA1">
            <w:r w:rsidRPr="00A0107A">
              <w:t>Biodiversity Finance Plan</w:t>
            </w:r>
          </w:p>
        </w:tc>
      </w:tr>
      <w:tr w:rsidR="00966BA1" w:rsidRPr="00A0107A" w14:paraId="0F6B64A5" w14:textId="77777777" w:rsidTr="00966BA1">
        <w:trPr>
          <w:trHeight w:val="288"/>
        </w:trPr>
        <w:tc>
          <w:tcPr>
            <w:tcW w:w="1795" w:type="dxa"/>
            <w:vAlign w:val="center"/>
          </w:tcPr>
          <w:p w14:paraId="078E3F0D" w14:textId="77777777" w:rsidR="00966BA1" w:rsidRPr="00A0107A" w:rsidRDefault="00966BA1" w:rsidP="00966BA1">
            <w:r w:rsidRPr="00A0107A">
              <w:t>BIOFIN</w:t>
            </w:r>
          </w:p>
        </w:tc>
        <w:tc>
          <w:tcPr>
            <w:tcW w:w="7222" w:type="dxa"/>
            <w:vAlign w:val="center"/>
          </w:tcPr>
          <w:p w14:paraId="771583BA" w14:textId="77777777" w:rsidR="00966BA1" w:rsidRPr="00A0107A" w:rsidRDefault="00966BA1" w:rsidP="00966BA1">
            <w:r w:rsidRPr="00A0107A">
              <w:t>Biodiversity Finance Initiative</w:t>
            </w:r>
          </w:p>
        </w:tc>
      </w:tr>
      <w:tr w:rsidR="00966BA1" w:rsidRPr="00A0107A" w14:paraId="1565D64B" w14:textId="77777777" w:rsidTr="00966BA1">
        <w:trPr>
          <w:trHeight w:val="288"/>
        </w:trPr>
        <w:tc>
          <w:tcPr>
            <w:tcW w:w="1795" w:type="dxa"/>
            <w:vAlign w:val="center"/>
          </w:tcPr>
          <w:p w14:paraId="2600BAFA" w14:textId="77777777" w:rsidR="00966BA1" w:rsidRPr="00A0107A" w:rsidRDefault="00966BA1" w:rsidP="00966BA1">
            <w:r w:rsidRPr="00A0107A">
              <w:t>CBSL</w:t>
            </w:r>
          </w:p>
        </w:tc>
        <w:tc>
          <w:tcPr>
            <w:tcW w:w="7222" w:type="dxa"/>
            <w:vAlign w:val="center"/>
          </w:tcPr>
          <w:p w14:paraId="0511C2AB" w14:textId="77777777" w:rsidR="00966BA1" w:rsidRPr="00A0107A" w:rsidRDefault="00966BA1" w:rsidP="00966BA1">
            <w:r w:rsidRPr="00A0107A">
              <w:t>Central Bank of Sri Lanka</w:t>
            </w:r>
          </w:p>
        </w:tc>
      </w:tr>
      <w:tr w:rsidR="00966BA1" w:rsidRPr="00A0107A" w14:paraId="69791F2F" w14:textId="77777777" w:rsidTr="00966BA1">
        <w:trPr>
          <w:trHeight w:val="288"/>
        </w:trPr>
        <w:tc>
          <w:tcPr>
            <w:tcW w:w="1795" w:type="dxa"/>
            <w:vAlign w:val="center"/>
          </w:tcPr>
          <w:p w14:paraId="7EDAA940" w14:textId="77777777" w:rsidR="00966BA1" w:rsidRPr="00A0107A" w:rsidRDefault="00966BA1" w:rsidP="00966BA1">
            <w:r w:rsidRPr="00A0107A">
              <w:t>CEB</w:t>
            </w:r>
          </w:p>
        </w:tc>
        <w:tc>
          <w:tcPr>
            <w:tcW w:w="7222" w:type="dxa"/>
            <w:vAlign w:val="center"/>
          </w:tcPr>
          <w:p w14:paraId="259BEA52" w14:textId="77777777" w:rsidR="00966BA1" w:rsidRPr="00A0107A" w:rsidRDefault="00966BA1" w:rsidP="00966BA1">
            <w:r w:rsidRPr="00A0107A">
              <w:t>Ceylon Electricity Board</w:t>
            </w:r>
          </w:p>
        </w:tc>
      </w:tr>
      <w:tr w:rsidR="00966BA1" w:rsidRPr="00A0107A" w14:paraId="7F00CE4E" w14:textId="77777777" w:rsidTr="00966BA1">
        <w:trPr>
          <w:trHeight w:val="288"/>
        </w:trPr>
        <w:tc>
          <w:tcPr>
            <w:tcW w:w="1795" w:type="dxa"/>
            <w:vAlign w:val="center"/>
          </w:tcPr>
          <w:p w14:paraId="66AE2E48" w14:textId="77777777" w:rsidR="00966BA1" w:rsidRPr="00A0107A" w:rsidRDefault="00966BA1" w:rsidP="00966BA1">
            <w:r w:rsidRPr="00A0107A">
              <w:t>CSR</w:t>
            </w:r>
          </w:p>
        </w:tc>
        <w:tc>
          <w:tcPr>
            <w:tcW w:w="7222" w:type="dxa"/>
            <w:vAlign w:val="center"/>
          </w:tcPr>
          <w:p w14:paraId="433262B0" w14:textId="77777777" w:rsidR="00966BA1" w:rsidRPr="00A0107A" w:rsidRDefault="00966BA1" w:rsidP="00966BA1">
            <w:r w:rsidRPr="00A0107A">
              <w:t xml:space="preserve">Corporate Social Responsibility </w:t>
            </w:r>
          </w:p>
        </w:tc>
      </w:tr>
      <w:tr w:rsidR="00966BA1" w:rsidRPr="00A0107A" w14:paraId="66E9D78E" w14:textId="77777777" w:rsidTr="00966BA1">
        <w:trPr>
          <w:trHeight w:val="288"/>
        </w:trPr>
        <w:tc>
          <w:tcPr>
            <w:tcW w:w="1795" w:type="dxa"/>
            <w:vAlign w:val="center"/>
          </w:tcPr>
          <w:p w14:paraId="5CF77467" w14:textId="77777777" w:rsidR="00966BA1" w:rsidRPr="00A0107A" w:rsidRDefault="00966BA1" w:rsidP="00966BA1">
            <w:r w:rsidRPr="00A0107A">
              <w:t>DCC</w:t>
            </w:r>
          </w:p>
        </w:tc>
        <w:tc>
          <w:tcPr>
            <w:tcW w:w="7222" w:type="dxa"/>
            <w:vAlign w:val="center"/>
          </w:tcPr>
          <w:p w14:paraId="1C398D2E" w14:textId="77777777" w:rsidR="00966BA1" w:rsidRPr="00A0107A" w:rsidRDefault="00966BA1" w:rsidP="00966BA1">
            <w:r w:rsidRPr="00A0107A">
              <w:t>Department of Coast Conservation and Coastal Resource Management</w:t>
            </w:r>
          </w:p>
        </w:tc>
      </w:tr>
      <w:tr w:rsidR="00966BA1" w:rsidRPr="00A0107A" w14:paraId="471272C6" w14:textId="77777777" w:rsidTr="00966BA1">
        <w:trPr>
          <w:trHeight w:val="288"/>
        </w:trPr>
        <w:tc>
          <w:tcPr>
            <w:tcW w:w="1795" w:type="dxa"/>
            <w:vAlign w:val="center"/>
          </w:tcPr>
          <w:p w14:paraId="33FF451E" w14:textId="77777777" w:rsidR="00966BA1" w:rsidRPr="00A0107A" w:rsidRDefault="00966BA1" w:rsidP="00966BA1">
            <w:r w:rsidRPr="00A0107A">
              <w:t>DLB</w:t>
            </w:r>
          </w:p>
        </w:tc>
        <w:tc>
          <w:tcPr>
            <w:tcW w:w="7222" w:type="dxa"/>
            <w:vAlign w:val="center"/>
          </w:tcPr>
          <w:p w14:paraId="630B6444" w14:textId="77777777" w:rsidR="00966BA1" w:rsidRPr="00A0107A" w:rsidRDefault="00966BA1" w:rsidP="00966BA1">
            <w:r w:rsidRPr="00A0107A">
              <w:t>Development Lotteries Board</w:t>
            </w:r>
          </w:p>
        </w:tc>
      </w:tr>
      <w:tr w:rsidR="00966BA1" w:rsidRPr="00A0107A" w14:paraId="7E73430F" w14:textId="77777777" w:rsidTr="00966BA1">
        <w:trPr>
          <w:trHeight w:val="288"/>
        </w:trPr>
        <w:tc>
          <w:tcPr>
            <w:tcW w:w="1795" w:type="dxa"/>
            <w:vAlign w:val="center"/>
          </w:tcPr>
          <w:p w14:paraId="29C9E940" w14:textId="77777777" w:rsidR="00966BA1" w:rsidRPr="00A0107A" w:rsidRDefault="00966BA1" w:rsidP="00966BA1">
            <w:r w:rsidRPr="00A0107A">
              <w:t>DMT</w:t>
            </w:r>
          </w:p>
        </w:tc>
        <w:tc>
          <w:tcPr>
            <w:tcW w:w="7222" w:type="dxa"/>
            <w:vAlign w:val="center"/>
          </w:tcPr>
          <w:p w14:paraId="4206157D" w14:textId="77777777" w:rsidR="00966BA1" w:rsidRPr="00A0107A" w:rsidRDefault="00966BA1" w:rsidP="00966BA1">
            <w:r w:rsidRPr="00A0107A">
              <w:t>Department of Motor Traffic</w:t>
            </w:r>
          </w:p>
        </w:tc>
      </w:tr>
      <w:tr w:rsidR="00966BA1" w:rsidRPr="00A0107A" w14:paraId="3B8BBD65" w14:textId="77777777" w:rsidTr="00966BA1">
        <w:trPr>
          <w:trHeight w:val="288"/>
        </w:trPr>
        <w:tc>
          <w:tcPr>
            <w:tcW w:w="1795" w:type="dxa"/>
            <w:vAlign w:val="center"/>
          </w:tcPr>
          <w:p w14:paraId="26E090CF" w14:textId="77777777" w:rsidR="00966BA1" w:rsidRPr="00A0107A" w:rsidRDefault="00966BA1" w:rsidP="00966BA1">
            <w:r w:rsidRPr="00A0107A">
              <w:t>DWC</w:t>
            </w:r>
          </w:p>
        </w:tc>
        <w:tc>
          <w:tcPr>
            <w:tcW w:w="7222" w:type="dxa"/>
            <w:vAlign w:val="center"/>
          </w:tcPr>
          <w:p w14:paraId="10202081" w14:textId="77777777" w:rsidR="00966BA1" w:rsidRPr="00A0107A" w:rsidRDefault="00966BA1" w:rsidP="00966BA1">
            <w:r w:rsidRPr="00A0107A">
              <w:t>Department of Wildlife Conservation</w:t>
            </w:r>
          </w:p>
        </w:tc>
      </w:tr>
      <w:tr w:rsidR="00966BA1" w:rsidRPr="00A0107A" w14:paraId="0DE4866E" w14:textId="77777777" w:rsidTr="00966BA1">
        <w:trPr>
          <w:trHeight w:val="288"/>
        </w:trPr>
        <w:tc>
          <w:tcPr>
            <w:tcW w:w="1795" w:type="dxa"/>
            <w:vAlign w:val="center"/>
          </w:tcPr>
          <w:p w14:paraId="7AED9EEF" w14:textId="77777777" w:rsidR="00966BA1" w:rsidRPr="00A0107A" w:rsidRDefault="00966BA1" w:rsidP="00966BA1">
            <w:r w:rsidRPr="00A0107A">
              <w:t>EIA</w:t>
            </w:r>
          </w:p>
        </w:tc>
        <w:tc>
          <w:tcPr>
            <w:tcW w:w="7222" w:type="dxa"/>
            <w:vAlign w:val="center"/>
          </w:tcPr>
          <w:p w14:paraId="08F72F76" w14:textId="77777777" w:rsidR="00966BA1" w:rsidRPr="00A0107A" w:rsidRDefault="00966BA1" w:rsidP="00966BA1">
            <w:r w:rsidRPr="00A0107A">
              <w:t>Environmental Impact Assessment</w:t>
            </w:r>
          </w:p>
        </w:tc>
      </w:tr>
      <w:tr w:rsidR="00966BA1" w:rsidRPr="00A0107A" w14:paraId="5ECFB48C" w14:textId="77777777" w:rsidTr="00966BA1">
        <w:trPr>
          <w:trHeight w:val="288"/>
        </w:trPr>
        <w:tc>
          <w:tcPr>
            <w:tcW w:w="1795" w:type="dxa"/>
            <w:vAlign w:val="center"/>
          </w:tcPr>
          <w:p w14:paraId="1305E528" w14:textId="77777777" w:rsidR="00966BA1" w:rsidRPr="00A0107A" w:rsidRDefault="00966BA1" w:rsidP="00966BA1">
            <w:r w:rsidRPr="00A0107A">
              <w:t>FD</w:t>
            </w:r>
          </w:p>
        </w:tc>
        <w:tc>
          <w:tcPr>
            <w:tcW w:w="7222" w:type="dxa"/>
            <w:vAlign w:val="center"/>
          </w:tcPr>
          <w:p w14:paraId="6434F609" w14:textId="77777777" w:rsidR="00966BA1" w:rsidRPr="00A0107A" w:rsidRDefault="00966BA1" w:rsidP="00966BA1">
            <w:r w:rsidRPr="00A0107A">
              <w:t>Forest Department</w:t>
            </w:r>
          </w:p>
        </w:tc>
      </w:tr>
      <w:tr w:rsidR="00966BA1" w:rsidRPr="00A0107A" w14:paraId="5BAD210E" w14:textId="77777777" w:rsidTr="00966BA1">
        <w:trPr>
          <w:trHeight w:val="288"/>
        </w:trPr>
        <w:tc>
          <w:tcPr>
            <w:tcW w:w="1795" w:type="dxa"/>
            <w:vAlign w:val="center"/>
          </w:tcPr>
          <w:p w14:paraId="614E53AC" w14:textId="77777777" w:rsidR="00966BA1" w:rsidRPr="00A0107A" w:rsidRDefault="00966BA1" w:rsidP="00966BA1">
            <w:r w:rsidRPr="00A0107A">
              <w:t>FNA</w:t>
            </w:r>
          </w:p>
        </w:tc>
        <w:tc>
          <w:tcPr>
            <w:tcW w:w="7222" w:type="dxa"/>
            <w:vAlign w:val="center"/>
          </w:tcPr>
          <w:p w14:paraId="14ECCE25" w14:textId="77777777" w:rsidR="00966BA1" w:rsidRPr="00A0107A" w:rsidRDefault="00966BA1" w:rsidP="00966BA1">
            <w:r w:rsidRPr="00A0107A">
              <w:t>Financial Needs Assessment</w:t>
            </w:r>
          </w:p>
        </w:tc>
      </w:tr>
      <w:tr w:rsidR="00966BA1" w:rsidRPr="00A0107A" w14:paraId="30E1FD0A" w14:textId="77777777" w:rsidTr="00966BA1">
        <w:trPr>
          <w:trHeight w:val="288"/>
        </w:trPr>
        <w:tc>
          <w:tcPr>
            <w:tcW w:w="1795" w:type="dxa"/>
            <w:vAlign w:val="center"/>
          </w:tcPr>
          <w:p w14:paraId="1BD9F818" w14:textId="77777777" w:rsidR="00966BA1" w:rsidRPr="00A0107A" w:rsidRDefault="00966BA1" w:rsidP="00966BA1">
            <w:r w:rsidRPr="00A0107A">
              <w:t>IFC</w:t>
            </w:r>
          </w:p>
        </w:tc>
        <w:tc>
          <w:tcPr>
            <w:tcW w:w="7222" w:type="dxa"/>
            <w:vAlign w:val="center"/>
          </w:tcPr>
          <w:p w14:paraId="140F7AAD" w14:textId="77777777" w:rsidR="00966BA1" w:rsidRPr="00A0107A" w:rsidRDefault="00966BA1" w:rsidP="00966BA1">
            <w:r w:rsidRPr="00A0107A">
              <w:t>International Finance Corporation</w:t>
            </w:r>
          </w:p>
        </w:tc>
      </w:tr>
      <w:tr w:rsidR="00966BA1" w:rsidRPr="00A0107A" w14:paraId="45F19C37" w14:textId="77777777" w:rsidTr="00966BA1">
        <w:trPr>
          <w:trHeight w:val="288"/>
        </w:trPr>
        <w:tc>
          <w:tcPr>
            <w:tcW w:w="1795" w:type="dxa"/>
            <w:vAlign w:val="center"/>
          </w:tcPr>
          <w:p w14:paraId="68B53954" w14:textId="77777777" w:rsidR="00966BA1" w:rsidRPr="00A0107A" w:rsidRDefault="00966BA1" w:rsidP="00966BA1">
            <w:r w:rsidRPr="00A0107A">
              <w:t>IUCN</w:t>
            </w:r>
          </w:p>
        </w:tc>
        <w:tc>
          <w:tcPr>
            <w:tcW w:w="7222" w:type="dxa"/>
            <w:vAlign w:val="center"/>
          </w:tcPr>
          <w:p w14:paraId="0B653D69" w14:textId="77777777" w:rsidR="00966BA1" w:rsidRPr="00A0107A" w:rsidRDefault="00966BA1" w:rsidP="00966BA1">
            <w:r w:rsidRPr="00A0107A">
              <w:t>International Union for Conservation of Nature</w:t>
            </w:r>
          </w:p>
        </w:tc>
      </w:tr>
      <w:tr w:rsidR="00966BA1" w:rsidRPr="00A0107A" w14:paraId="507D7870" w14:textId="77777777" w:rsidTr="00966BA1">
        <w:trPr>
          <w:trHeight w:val="288"/>
        </w:trPr>
        <w:tc>
          <w:tcPr>
            <w:tcW w:w="1795" w:type="dxa"/>
            <w:vAlign w:val="center"/>
          </w:tcPr>
          <w:p w14:paraId="6102D739" w14:textId="77777777" w:rsidR="00966BA1" w:rsidRPr="00A0107A" w:rsidRDefault="00966BA1" w:rsidP="00966BA1">
            <w:r w:rsidRPr="00A0107A">
              <w:t>LKR</w:t>
            </w:r>
          </w:p>
        </w:tc>
        <w:tc>
          <w:tcPr>
            <w:tcW w:w="7222" w:type="dxa"/>
            <w:vAlign w:val="center"/>
          </w:tcPr>
          <w:p w14:paraId="45079F77" w14:textId="77777777" w:rsidR="00966BA1" w:rsidRPr="00A0107A" w:rsidRDefault="00966BA1" w:rsidP="00966BA1">
            <w:r w:rsidRPr="00A0107A">
              <w:t>Sri Lanka Rupees</w:t>
            </w:r>
          </w:p>
        </w:tc>
      </w:tr>
      <w:tr w:rsidR="00966BA1" w:rsidRPr="00A0107A" w14:paraId="5EEB2756" w14:textId="77777777" w:rsidTr="00966BA1">
        <w:trPr>
          <w:trHeight w:val="288"/>
        </w:trPr>
        <w:tc>
          <w:tcPr>
            <w:tcW w:w="1795" w:type="dxa"/>
            <w:vAlign w:val="center"/>
          </w:tcPr>
          <w:p w14:paraId="78824337" w14:textId="77777777" w:rsidR="00966BA1" w:rsidRPr="00A0107A" w:rsidRDefault="00966BA1" w:rsidP="00966BA1">
            <w:r w:rsidRPr="00A0107A">
              <w:t>MF</w:t>
            </w:r>
          </w:p>
        </w:tc>
        <w:tc>
          <w:tcPr>
            <w:tcW w:w="7222" w:type="dxa"/>
            <w:vAlign w:val="center"/>
          </w:tcPr>
          <w:p w14:paraId="38598FB7" w14:textId="77777777" w:rsidR="00966BA1" w:rsidRPr="00A0107A" w:rsidRDefault="00966BA1" w:rsidP="00966BA1">
            <w:r w:rsidRPr="00A0107A">
              <w:t>Ministry of Finance</w:t>
            </w:r>
          </w:p>
        </w:tc>
      </w:tr>
      <w:tr w:rsidR="00966BA1" w:rsidRPr="00A0107A" w14:paraId="7498399C" w14:textId="77777777" w:rsidTr="00966BA1">
        <w:trPr>
          <w:trHeight w:val="288"/>
        </w:trPr>
        <w:tc>
          <w:tcPr>
            <w:tcW w:w="1795" w:type="dxa"/>
            <w:vAlign w:val="center"/>
          </w:tcPr>
          <w:p w14:paraId="7E50EF7F" w14:textId="77777777" w:rsidR="00966BA1" w:rsidRPr="00A0107A" w:rsidRDefault="00966BA1" w:rsidP="00966BA1">
            <w:r w:rsidRPr="00A0107A">
              <w:t>MHP</w:t>
            </w:r>
          </w:p>
        </w:tc>
        <w:tc>
          <w:tcPr>
            <w:tcW w:w="7222" w:type="dxa"/>
            <w:vAlign w:val="center"/>
          </w:tcPr>
          <w:p w14:paraId="0200D280" w14:textId="77777777" w:rsidR="00966BA1" w:rsidRPr="00A0107A" w:rsidRDefault="00966BA1" w:rsidP="00966BA1">
            <w:r w:rsidRPr="00A0107A">
              <w:t>Mini-Hydro Power</w:t>
            </w:r>
          </w:p>
        </w:tc>
      </w:tr>
      <w:tr w:rsidR="00966BA1" w:rsidRPr="00A0107A" w14:paraId="5245C48E" w14:textId="77777777" w:rsidTr="00966BA1">
        <w:trPr>
          <w:trHeight w:val="288"/>
        </w:trPr>
        <w:tc>
          <w:tcPr>
            <w:tcW w:w="1795" w:type="dxa"/>
            <w:vAlign w:val="center"/>
          </w:tcPr>
          <w:p w14:paraId="0EE70FF6" w14:textId="77777777" w:rsidR="00966BA1" w:rsidRPr="00A0107A" w:rsidRDefault="00966BA1" w:rsidP="00966BA1">
            <w:r w:rsidRPr="00A0107A">
              <w:t>MLGPC</w:t>
            </w:r>
          </w:p>
        </w:tc>
        <w:tc>
          <w:tcPr>
            <w:tcW w:w="7222" w:type="dxa"/>
            <w:vAlign w:val="center"/>
          </w:tcPr>
          <w:p w14:paraId="515C0557" w14:textId="77777777" w:rsidR="00966BA1" w:rsidRPr="00A0107A" w:rsidRDefault="00966BA1" w:rsidP="00966BA1">
            <w:r w:rsidRPr="00A0107A">
              <w:t>Ministry of Local Governments and Provincial Councils</w:t>
            </w:r>
          </w:p>
        </w:tc>
      </w:tr>
      <w:tr w:rsidR="00966BA1" w:rsidRPr="00A0107A" w14:paraId="3D902D6C" w14:textId="77777777" w:rsidTr="00966BA1">
        <w:trPr>
          <w:trHeight w:val="288"/>
        </w:trPr>
        <w:tc>
          <w:tcPr>
            <w:tcW w:w="1795" w:type="dxa"/>
            <w:vAlign w:val="center"/>
          </w:tcPr>
          <w:p w14:paraId="59924F48" w14:textId="77777777" w:rsidR="00966BA1" w:rsidRPr="00A0107A" w:rsidRDefault="00966BA1" w:rsidP="00966BA1">
            <w:r w:rsidRPr="00A0107A">
              <w:t>MMDE</w:t>
            </w:r>
          </w:p>
        </w:tc>
        <w:tc>
          <w:tcPr>
            <w:tcW w:w="7222" w:type="dxa"/>
            <w:vAlign w:val="center"/>
          </w:tcPr>
          <w:p w14:paraId="5CF852DF" w14:textId="77777777" w:rsidR="00966BA1" w:rsidRPr="00A0107A" w:rsidRDefault="00966BA1" w:rsidP="00966BA1">
            <w:r w:rsidRPr="00A0107A">
              <w:t>Ministry of Mahaweli Development and Environment</w:t>
            </w:r>
          </w:p>
        </w:tc>
      </w:tr>
      <w:tr w:rsidR="00966BA1" w:rsidRPr="00A0107A" w14:paraId="4CE5A896" w14:textId="77777777" w:rsidTr="00966BA1">
        <w:trPr>
          <w:trHeight w:val="288"/>
        </w:trPr>
        <w:tc>
          <w:tcPr>
            <w:tcW w:w="1795" w:type="dxa"/>
            <w:vAlign w:val="center"/>
          </w:tcPr>
          <w:p w14:paraId="5F2B5E1A" w14:textId="77777777" w:rsidR="00966BA1" w:rsidRPr="00A0107A" w:rsidRDefault="00966BA1" w:rsidP="00966BA1">
            <w:r w:rsidRPr="00A0107A">
              <w:t>MPRE</w:t>
            </w:r>
          </w:p>
        </w:tc>
        <w:tc>
          <w:tcPr>
            <w:tcW w:w="7222" w:type="dxa"/>
            <w:vAlign w:val="center"/>
          </w:tcPr>
          <w:p w14:paraId="1DC5EB6E" w14:textId="77777777" w:rsidR="00966BA1" w:rsidRPr="00A0107A" w:rsidRDefault="00966BA1" w:rsidP="00966BA1">
            <w:r w:rsidRPr="00A0107A">
              <w:t>Ministry of Power and Renewable Energy</w:t>
            </w:r>
          </w:p>
        </w:tc>
      </w:tr>
      <w:tr w:rsidR="00966BA1" w:rsidRPr="00A0107A" w14:paraId="5349DA8D" w14:textId="77777777" w:rsidTr="00966BA1">
        <w:trPr>
          <w:trHeight w:val="288"/>
        </w:trPr>
        <w:tc>
          <w:tcPr>
            <w:tcW w:w="1795" w:type="dxa"/>
            <w:vAlign w:val="center"/>
          </w:tcPr>
          <w:p w14:paraId="2181633A" w14:textId="77777777" w:rsidR="00966BA1" w:rsidRPr="00A0107A" w:rsidRDefault="00966BA1" w:rsidP="00966BA1">
            <w:r w:rsidRPr="00A0107A">
              <w:t>MT</w:t>
            </w:r>
          </w:p>
        </w:tc>
        <w:tc>
          <w:tcPr>
            <w:tcW w:w="7222" w:type="dxa"/>
            <w:vAlign w:val="center"/>
          </w:tcPr>
          <w:p w14:paraId="7BC86EA6" w14:textId="77777777" w:rsidR="00966BA1" w:rsidRPr="00A0107A" w:rsidRDefault="00966BA1" w:rsidP="00966BA1">
            <w:r w:rsidRPr="00A0107A">
              <w:t>Ministry of Tourism</w:t>
            </w:r>
          </w:p>
        </w:tc>
      </w:tr>
      <w:tr w:rsidR="00966BA1" w:rsidRPr="00A0107A" w14:paraId="2BB950FB" w14:textId="77777777" w:rsidTr="00966BA1">
        <w:trPr>
          <w:trHeight w:val="288"/>
        </w:trPr>
        <w:tc>
          <w:tcPr>
            <w:tcW w:w="1795" w:type="dxa"/>
            <w:vAlign w:val="center"/>
          </w:tcPr>
          <w:p w14:paraId="535243FD" w14:textId="77777777" w:rsidR="00966BA1" w:rsidRPr="00A0107A" w:rsidRDefault="00966BA1" w:rsidP="00966BA1">
            <w:r w:rsidRPr="00A0107A">
              <w:t>MTCA</w:t>
            </w:r>
          </w:p>
        </w:tc>
        <w:tc>
          <w:tcPr>
            <w:tcW w:w="7222" w:type="dxa"/>
            <w:vAlign w:val="center"/>
          </w:tcPr>
          <w:p w14:paraId="160728EA" w14:textId="77777777" w:rsidR="00966BA1" w:rsidRPr="00A0107A" w:rsidRDefault="00966BA1" w:rsidP="00966BA1">
            <w:r w:rsidRPr="00A0107A">
              <w:t>Ministry of Transport and Civil Aviation</w:t>
            </w:r>
          </w:p>
        </w:tc>
      </w:tr>
      <w:tr w:rsidR="00966BA1" w:rsidRPr="00A0107A" w14:paraId="14A36644" w14:textId="77777777" w:rsidTr="00966BA1">
        <w:trPr>
          <w:trHeight w:val="288"/>
        </w:trPr>
        <w:tc>
          <w:tcPr>
            <w:tcW w:w="1795" w:type="dxa"/>
            <w:vAlign w:val="center"/>
          </w:tcPr>
          <w:p w14:paraId="7F647AF5" w14:textId="77777777" w:rsidR="00966BA1" w:rsidRPr="00A0107A" w:rsidRDefault="00966BA1" w:rsidP="00966BA1">
            <w:r w:rsidRPr="00A0107A">
              <w:t>NAP-CCI</w:t>
            </w:r>
          </w:p>
        </w:tc>
        <w:tc>
          <w:tcPr>
            <w:tcW w:w="7222" w:type="dxa"/>
            <w:vAlign w:val="center"/>
          </w:tcPr>
          <w:p w14:paraId="4CCDF7AC" w14:textId="77777777" w:rsidR="00966BA1" w:rsidRPr="00A0107A" w:rsidRDefault="00966BA1" w:rsidP="00966BA1">
            <w:r w:rsidRPr="00A0107A">
              <w:t>National Adaptation Plan for Climate Change Impact 2016-2025</w:t>
            </w:r>
          </w:p>
        </w:tc>
      </w:tr>
      <w:tr w:rsidR="00966BA1" w:rsidRPr="00A0107A" w14:paraId="67A599D3" w14:textId="77777777" w:rsidTr="00966BA1">
        <w:trPr>
          <w:trHeight w:val="288"/>
        </w:trPr>
        <w:tc>
          <w:tcPr>
            <w:tcW w:w="1795" w:type="dxa"/>
            <w:vAlign w:val="center"/>
          </w:tcPr>
          <w:p w14:paraId="5B96FDF1" w14:textId="77777777" w:rsidR="00966BA1" w:rsidRPr="00A0107A" w:rsidRDefault="00966BA1" w:rsidP="00966BA1">
            <w:r w:rsidRPr="00A0107A">
              <w:t>NAP-CLD</w:t>
            </w:r>
          </w:p>
        </w:tc>
        <w:tc>
          <w:tcPr>
            <w:tcW w:w="7222" w:type="dxa"/>
            <w:vAlign w:val="center"/>
          </w:tcPr>
          <w:p w14:paraId="4A98EC14" w14:textId="77777777" w:rsidR="00966BA1" w:rsidRPr="00A0107A" w:rsidRDefault="00966BA1" w:rsidP="00966BA1">
            <w:r w:rsidRPr="00A0107A">
              <w:t>National Action Program for Combating Land Degradation 2015-2024</w:t>
            </w:r>
          </w:p>
        </w:tc>
      </w:tr>
      <w:tr w:rsidR="00966BA1" w:rsidRPr="00A0107A" w14:paraId="31EEF9E7" w14:textId="77777777" w:rsidTr="00966BA1">
        <w:trPr>
          <w:trHeight w:val="288"/>
        </w:trPr>
        <w:tc>
          <w:tcPr>
            <w:tcW w:w="1795" w:type="dxa"/>
            <w:vAlign w:val="center"/>
          </w:tcPr>
          <w:p w14:paraId="570B1655" w14:textId="77777777" w:rsidR="00966BA1" w:rsidRPr="00A0107A" w:rsidRDefault="00966BA1" w:rsidP="00966BA1">
            <w:r w:rsidRPr="00A0107A">
              <w:t>NBSAP</w:t>
            </w:r>
          </w:p>
        </w:tc>
        <w:tc>
          <w:tcPr>
            <w:tcW w:w="7222" w:type="dxa"/>
            <w:vAlign w:val="center"/>
          </w:tcPr>
          <w:p w14:paraId="5F649D2F" w14:textId="77777777" w:rsidR="00966BA1" w:rsidRPr="00A0107A" w:rsidRDefault="00966BA1" w:rsidP="00966BA1">
            <w:r w:rsidRPr="00A0107A">
              <w:t>National Biodiversity Strategic Action Plan 2016-2022</w:t>
            </w:r>
          </w:p>
        </w:tc>
      </w:tr>
      <w:tr w:rsidR="00966BA1" w:rsidRPr="00A0107A" w14:paraId="1946D19E" w14:textId="77777777" w:rsidTr="00966BA1">
        <w:trPr>
          <w:trHeight w:val="288"/>
        </w:trPr>
        <w:tc>
          <w:tcPr>
            <w:tcW w:w="1795" w:type="dxa"/>
            <w:vAlign w:val="center"/>
          </w:tcPr>
          <w:p w14:paraId="37F5E6FD" w14:textId="77777777" w:rsidR="00966BA1" w:rsidRPr="00A0107A" w:rsidRDefault="00966BA1" w:rsidP="00966BA1">
            <w:r w:rsidRPr="00A0107A">
              <w:t>NLB</w:t>
            </w:r>
          </w:p>
        </w:tc>
        <w:tc>
          <w:tcPr>
            <w:tcW w:w="7222" w:type="dxa"/>
            <w:vAlign w:val="center"/>
          </w:tcPr>
          <w:p w14:paraId="6FAB4A1B" w14:textId="77777777" w:rsidR="00966BA1" w:rsidRPr="00A0107A" w:rsidRDefault="00966BA1" w:rsidP="00966BA1">
            <w:r w:rsidRPr="00A0107A">
              <w:t>National Lotteries Board</w:t>
            </w:r>
          </w:p>
        </w:tc>
      </w:tr>
      <w:tr w:rsidR="00966BA1" w:rsidRPr="00A0107A" w14:paraId="2D007CD0" w14:textId="77777777" w:rsidTr="00966BA1">
        <w:trPr>
          <w:trHeight w:val="288"/>
        </w:trPr>
        <w:tc>
          <w:tcPr>
            <w:tcW w:w="1795" w:type="dxa"/>
            <w:vAlign w:val="center"/>
          </w:tcPr>
          <w:p w14:paraId="4CE44BC7" w14:textId="77777777" w:rsidR="00966BA1" w:rsidRPr="00A0107A" w:rsidRDefault="00966BA1" w:rsidP="00966BA1">
            <w:r w:rsidRPr="00A0107A">
              <w:t>NRIFAP</w:t>
            </w:r>
          </w:p>
        </w:tc>
        <w:tc>
          <w:tcPr>
            <w:tcW w:w="7222" w:type="dxa"/>
            <w:vAlign w:val="center"/>
          </w:tcPr>
          <w:p w14:paraId="6D3BDFAA" w14:textId="77777777" w:rsidR="00966BA1" w:rsidRPr="00A0107A" w:rsidRDefault="00966BA1" w:rsidP="00966BA1">
            <w:r w:rsidRPr="00A0107A">
              <w:t>National REDD+ Investment Framework and Action Plan 2018-2022</w:t>
            </w:r>
          </w:p>
        </w:tc>
      </w:tr>
      <w:tr w:rsidR="00966BA1" w:rsidRPr="00A0107A" w14:paraId="073FA5E5" w14:textId="77777777" w:rsidTr="00966BA1">
        <w:trPr>
          <w:trHeight w:val="288"/>
        </w:trPr>
        <w:tc>
          <w:tcPr>
            <w:tcW w:w="1795" w:type="dxa"/>
            <w:vAlign w:val="center"/>
          </w:tcPr>
          <w:p w14:paraId="06C0FB60" w14:textId="77777777" w:rsidR="00966BA1" w:rsidRPr="00A0107A" w:rsidRDefault="00966BA1" w:rsidP="00966BA1">
            <w:r w:rsidRPr="00A0107A">
              <w:t>PES</w:t>
            </w:r>
          </w:p>
        </w:tc>
        <w:tc>
          <w:tcPr>
            <w:tcW w:w="7222" w:type="dxa"/>
            <w:vAlign w:val="center"/>
          </w:tcPr>
          <w:p w14:paraId="3478541D" w14:textId="77777777" w:rsidR="00966BA1" w:rsidRPr="00A0107A" w:rsidRDefault="00966BA1" w:rsidP="00966BA1">
            <w:r w:rsidRPr="00A0107A">
              <w:t>Payment for Ecosystems Services</w:t>
            </w:r>
          </w:p>
        </w:tc>
      </w:tr>
      <w:tr w:rsidR="00966BA1" w:rsidRPr="00A0107A" w14:paraId="3C71DEDE" w14:textId="77777777" w:rsidTr="00966BA1">
        <w:trPr>
          <w:trHeight w:val="288"/>
        </w:trPr>
        <w:tc>
          <w:tcPr>
            <w:tcW w:w="1795" w:type="dxa"/>
            <w:vAlign w:val="center"/>
          </w:tcPr>
          <w:p w14:paraId="2FCBEF00" w14:textId="77777777" w:rsidR="00966BA1" w:rsidRPr="00A0107A" w:rsidRDefault="00966BA1" w:rsidP="00966BA1">
            <w:r w:rsidRPr="00A0107A">
              <w:t>PIR</w:t>
            </w:r>
          </w:p>
        </w:tc>
        <w:tc>
          <w:tcPr>
            <w:tcW w:w="7222" w:type="dxa"/>
            <w:vAlign w:val="center"/>
          </w:tcPr>
          <w:p w14:paraId="3D9C9E4E" w14:textId="77777777" w:rsidR="00966BA1" w:rsidRPr="00A0107A" w:rsidRDefault="00966BA1" w:rsidP="00966BA1">
            <w:r w:rsidRPr="00A0107A">
              <w:t>Policy and Institutional Review</w:t>
            </w:r>
          </w:p>
        </w:tc>
      </w:tr>
      <w:tr w:rsidR="00966BA1" w:rsidRPr="00A0107A" w14:paraId="1F44B5CB" w14:textId="77777777" w:rsidTr="00966BA1">
        <w:trPr>
          <w:trHeight w:val="288"/>
        </w:trPr>
        <w:tc>
          <w:tcPr>
            <w:tcW w:w="1795" w:type="dxa"/>
            <w:vAlign w:val="center"/>
          </w:tcPr>
          <w:p w14:paraId="777FBDE4" w14:textId="77777777" w:rsidR="00966BA1" w:rsidRPr="00A0107A" w:rsidRDefault="00966BA1" w:rsidP="00966BA1">
            <w:r w:rsidRPr="00A0107A">
              <w:t>PPPs</w:t>
            </w:r>
          </w:p>
        </w:tc>
        <w:tc>
          <w:tcPr>
            <w:tcW w:w="7222" w:type="dxa"/>
            <w:vAlign w:val="center"/>
          </w:tcPr>
          <w:p w14:paraId="7AA4CC76" w14:textId="77777777" w:rsidR="00966BA1" w:rsidRPr="00A0107A" w:rsidRDefault="00966BA1" w:rsidP="00966BA1">
            <w:r w:rsidRPr="00A0107A">
              <w:t>Private Power Producers</w:t>
            </w:r>
          </w:p>
        </w:tc>
      </w:tr>
      <w:tr w:rsidR="00966BA1" w:rsidRPr="00A0107A" w14:paraId="2E9EB342" w14:textId="77777777" w:rsidTr="00966BA1">
        <w:trPr>
          <w:trHeight w:val="288"/>
        </w:trPr>
        <w:tc>
          <w:tcPr>
            <w:tcW w:w="1795" w:type="dxa"/>
            <w:vAlign w:val="center"/>
          </w:tcPr>
          <w:p w14:paraId="29FEE804" w14:textId="77777777" w:rsidR="00966BA1" w:rsidRPr="00A0107A" w:rsidRDefault="00966BA1" w:rsidP="00966BA1">
            <w:r w:rsidRPr="00A0107A">
              <w:t>PUCSL</w:t>
            </w:r>
          </w:p>
        </w:tc>
        <w:tc>
          <w:tcPr>
            <w:tcW w:w="7222" w:type="dxa"/>
            <w:vAlign w:val="center"/>
          </w:tcPr>
          <w:p w14:paraId="3317AEEE" w14:textId="77777777" w:rsidR="00966BA1" w:rsidRPr="00A0107A" w:rsidRDefault="00966BA1" w:rsidP="00966BA1">
            <w:r w:rsidRPr="00A0107A">
              <w:t>Public Utility Commission of Sri Lanka</w:t>
            </w:r>
          </w:p>
        </w:tc>
      </w:tr>
      <w:tr w:rsidR="00966BA1" w:rsidRPr="00A0107A" w14:paraId="3444940C" w14:textId="77777777" w:rsidTr="00966BA1">
        <w:trPr>
          <w:trHeight w:val="288"/>
        </w:trPr>
        <w:tc>
          <w:tcPr>
            <w:tcW w:w="1795" w:type="dxa"/>
            <w:vAlign w:val="center"/>
          </w:tcPr>
          <w:p w14:paraId="194FB9CE" w14:textId="77777777" w:rsidR="00966BA1" w:rsidRPr="00A0107A" w:rsidRDefault="00966BA1" w:rsidP="00966BA1">
            <w:r w:rsidRPr="00A0107A">
              <w:t>SBN</w:t>
            </w:r>
          </w:p>
        </w:tc>
        <w:tc>
          <w:tcPr>
            <w:tcW w:w="7222" w:type="dxa"/>
            <w:vAlign w:val="center"/>
          </w:tcPr>
          <w:p w14:paraId="2297CA9C" w14:textId="77777777" w:rsidR="00966BA1" w:rsidRPr="00A0107A" w:rsidRDefault="00966BA1" w:rsidP="00966BA1">
            <w:r w:rsidRPr="00A0107A">
              <w:t>Sustainable Banking Network</w:t>
            </w:r>
          </w:p>
        </w:tc>
      </w:tr>
      <w:tr w:rsidR="00966BA1" w:rsidRPr="00A0107A" w14:paraId="25143B40" w14:textId="77777777" w:rsidTr="00966BA1">
        <w:trPr>
          <w:trHeight w:val="288"/>
        </w:trPr>
        <w:tc>
          <w:tcPr>
            <w:tcW w:w="1795" w:type="dxa"/>
            <w:vAlign w:val="center"/>
          </w:tcPr>
          <w:p w14:paraId="45F04DE0" w14:textId="77777777" w:rsidR="00966BA1" w:rsidRPr="00A0107A" w:rsidRDefault="00966BA1" w:rsidP="00966BA1">
            <w:r w:rsidRPr="00A0107A">
              <w:t>SC</w:t>
            </w:r>
          </w:p>
        </w:tc>
        <w:tc>
          <w:tcPr>
            <w:tcW w:w="7222" w:type="dxa"/>
            <w:vAlign w:val="center"/>
          </w:tcPr>
          <w:p w14:paraId="2EE86916" w14:textId="77777777" w:rsidR="00966BA1" w:rsidRPr="00A0107A" w:rsidRDefault="00966BA1" w:rsidP="00966BA1">
            <w:r w:rsidRPr="00A0107A">
              <w:t>Steering Committee</w:t>
            </w:r>
          </w:p>
        </w:tc>
      </w:tr>
      <w:tr w:rsidR="00966BA1" w:rsidRPr="00A0107A" w14:paraId="6596EF95" w14:textId="77777777" w:rsidTr="00966BA1">
        <w:trPr>
          <w:trHeight w:val="288"/>
        </w:trPr>
        <w:tc>
          <w:tcPr>
            <w:tcW w:w="1795" w:type="dxa"/>
            <w:vAlign w:val="center"/>
          </w:tcPr>
          <w:p w14:paraId="1431B9F4" w14:textId="77777777" w:rsidR="00966BA1" w:rsidRPr="00A0107A" w:rsidRDefault="00966BA1" w:rsidP="00966BA1">
            <w:r w:rsidRPr="00A0107A">
              <w:t>SCP</w:t>
            </w:r>
          </w:p>
        </w:tc>
        <w:tc>
          <w:tcPr>
            <w:tcW w:w="7222" w:type="dxa"/>
            <w:vAlign w:val="center"/>
          </w:tcPr>
          <w:p w14:paraId="52B785DA" w14:textId="77777777" w:rsidR="00966BA1" w:rsidRPr="00A0107A" w:rsidRDefault="00966BA1" w:rsidP="00966BA1">
            <w:r w:rsidRPr="00A0107A">
              <w:t>Sustainable Consumption and Production</w:t>
            </w:r>
          </w:p>
        </w:tc>
      </w:tr>
      <w:tr w:rsidR="00966BA1" w:rsidRPr="00A0107A" w14:paraId="636846EB" w14:textId="77777777" w:rsidTr="00966BA1">
        <w:trPr>
          <w:trHeight w:val="288"/>
        </w:trPr>
        <w:tc>
          <w:tcPr>
            <w:tcW w:w="1795" w:type="dxa"/>
            <w:vAlign w:val="center"/>
          </w:tcPr>
          <w:p w14:paraId="6A721CD7" w14:textId="77777777" w:rsidR="00966BA1" w:rsidRPr="00A0107A" w:rsidRDefault="00966BA1" w:rsidP="00966BA1">
            <w:r w:rsidRPr="00A0107A">
              <w:t>SLTDA</w:t>
            </w:r>
          </w:p>
        </w:tc>
        <w:tc>
          <w:tcPr>
            <w:tcW w:w="7222" w:type="dxa"/>
            <w:vAlign w:val="center"/>
          </w:tcPr>
          <w:p w14:paraId="36C94BA8" w14:textId="77777777" w:rsidR="00966BA1" w:rsidRPr="00A0107A" w:rsidRDefault="00966BA1" w:rsidP="00966BA1">
            <w:r w:rsidRPr="00A0107A">
              <w:t>Sri Lanka Tourism Development Authority</w:t>
            </w:r>
          </w:p>
        </w:tc>
      </w:tr>
      <w:tr w:rsidR="00966BA1" w:rsidRPr="00A0107A" w14:paraId="76C633CB" w14:textId="77777777" w:rsidTr="00966BA1">
        <w:trPr>
          <w:trHeight w:val="288"/>
        </w:trPr>
        <w:tc>
          <w:tcPr>
            <w:tcW w:w="1795" w:type="dxa"/>
            <w:vAlign w:val="center"/>
          </w:tcPr>
          <w:p w14:paraId="32758BE0" w14:textId="77777777" w:rsidR="00966BA1" w:rsidRPr="00A0107A" w:rsidRDefault="00966BA1" w:rsidP="00966BA1">
            <w:r w:rsidRPr="00A0107A">
              <w:t>SOE</w:t>
            </w:r>
          </w:p>
        </w:tc>
        <w:tc>
          <w:tcPr>
            <w:tcW w:w="7222" w:type="dxa"/>
            <w:vAlign w:val="center"/>
          </w:tcPr>
          <w:p w14:paraId="6283D66E" w14:textId="77777777" w:rsidR="00966BA1" w:rsidRPr="00A0107A" w:rsidRDefault="00966BA1" w:rsidP="00966BA1">
            <w:r w:rsidRPr="00A0107A">
              <w:t>State-Owned Enterprise</w:t>
            </w:r>
          </w:p>
        </w:tc>
      </w:tr>
      <w:tr w:rsidR="00966BA1" w:rsidRPr="00A0107A" w14:paraId="55C76D0E" w14:textId="77777777" w:rsidTr="00966BA1">
        <w:trPr>
          <w:trHeight w:val="288"/>
        </w:trPr>
        <w:tc>
          <w:tcPr>
            <w:tcW w:w="1795" w:type="dxa"/>
            <w:vAlign w:val="center"/>
          </w:tcPr>
          <w:p w14:paraId="2CBDD9ED" w14:textId="77777777" w:rsidR="00966BA1" w:rsidRPr="00A0107A" w:rsidRDefault="00966BA1" w:rsidP="00966BA1">
            <w:r w:rsidRPr="00A0107A">
              <w:t>SST</w:t>
            </w:r>
          </w:p>
        </w:tc>
        <w:tc>
          <w:tcPr>
            <w:tcW w:w="7222" w:type="dxa"/>
            <w:vAlign w:val="center"/>
          </w:tcPr>
          <w:p w14:paraId="0A5E1139" w14:textId="77777777" w:rsidR="00966BA1" w:rsidRPr="00A0107A" w:rsidRDefault="00966BA1" w:rsidP="00966BA1">
            <w:r w:rsidRPr="00A0107A">
              <w:t>Sustainable Standards and Certification</w:t>
            </w:r>
          </w:p>
        </w:tc>
      </w:tr>
      <w:tr w:rsidR="00966BA1" w:rsidRPr="00A0107A" w14:paraId="2CFFE097" w14:textId="77777777" w:rsidTr="00966BA1">
        <w:trPr>
          <w:trHeight w:val="288"/>
        </w:trPr>
        <w:tc>
          <w:tcPr>
            <w:tcW w:w="1795" w:type="dxa"/>
            <w:vAlign w:val="center"/>
          </w:tcPr>
          <w:p w14:paraId="5EAF9883" w14:textId="77777777" w:rsidR="00966BA1" w:rsidRPr="00A0107A" w:rsidRDefault="00966BA1" w:rsidP="00966BA1">
            <w:r w:rsidRPr="00A0107A">
              <w:t>TAC</w:t>
            </w:r>
          </w:p>
        </w:tc>
        <w:tc>
          <w:tcPr>
            <w:tcW w:w="7222" w:type="dxa"/>
            <w:vAlign w:val="center"/>
          </w:tcPr>
          <w:p w14:paraId="117ABF0C" w14:textId="77777777" w:rsidR="00966BA1" w:rsidRPr="00A0107A" w:rsidRDefault="00966BA1" w:rsidP="00966BA1">
            <w:r w:rsidRPr="00A0107A">
              <w:t>Technical Advisory Committee</w:t>
            </w:r>
          </w:p>
        </w:tc>
      </w:tr>
      <w:tr w:rsidR="00966BA1" w:rsidRPr="00A0107A" w14:paraId="3BD473C6" w14:textId="77777777" w:rsidTr="00966BA1">
        <w:trPr>
          <w:trHeight w:val="288"/>
        </w:trPr>
        <w:tc>
          <w:tcPr>
            <w:tcW w:w="1795" w:type="dxa"/>
            <w:vAlign w:val="center"/>
          </w:tcPr>
          <w:p w14:paraId="6F57C14B" w14:textId="77777777" w:rsidR="00966BA1" w:rsidRPr="00A0107A" w:rsidRDefault="00966BA1" w:rsidP="00966BA1">
            <w:r w:rsidRPr="00A0107A">
              <w:t>TC</w:t>
            </w:r>
          </w:p>
        </w:tc>
        <w:tc>
          <w:tcPr>
            <w:tcW w:w="7222" w:type="dxa"/>
            <w:vAlign w:val="center"/>
          </w:tcPr>
          <w:p w14:paraId="149F3C2E" w14:textId="77777777" w:rsidR="00966BA1" w:rsidRPr="00A0107A" w:rsidRDefault="00966BA1" w:rsidP="00966BA1">
            <w:r w:rsidRPr="00A0107A">
              <w:t>Technical Committee</w:t>
            </w:r>
          </w:p>
        </w:tc>
      </w:tr>
    </w:tbl>
    <w:p w14:paraId="606A3C35" w14:textId="77777777" w:rsidR="00E91985" w:rsidRPr="009B4F1E" w:rsidRDefault="00E91985" w:rsidP="00E91985"/>
    <w:p w14:paraId="6694AFD1" w14:textId="77777777" w:rsidR="001E6F91" w:rsidRDefault="001E6F91" w:rsidP="00F4186E">
      <w:pPr>
        <w:jc w:val="both"/>
      </w:pPr>
    </w:p>
    <w:p w14:paraId="7129DAB6" w14:textId="77777777" w:rsidR="00AF7545" w:rsidRDefault="00AF7545" w:rsidP="00F4186E">
      <w:pPr>
        <w:jc w:val="both"/>
        <w:sectPr w:rsidR="00AF7545" w:rsidSect="00653037">
          <w:pgSz w:w="11907" w:h="16839" w:code="9"/>
          <w:pgMar w:top="1440" w:right="1440" w:bottom="1440" w:left="1440" w:header="720" w:footer="720" w:gutter="0"/>
          <w:pgNumType w:fmt="lowerRoman"/>
          <w:cols w:space="720"/>
          <w:docGrid w:linePitch="360"/>
        </w:sectPr>
      </w:pPr>
    </w:p>
    <w:p w14:paraId="6DB866A2" w14:textId="77777777" w:rsidR="001E6F91" w:rsidRDefault="001E6F91" w:rsidP="00F4186E">
      <w:pPr>
        <w:jc w:val="both"/>
      </w:pPr>
    </w:p>
    <w:p w14:paraId="77196C76" w14:textId="77777777" w:rsidR="00CD640D" w:rsidRPr="008B7E9D" w:rsidRDefault="00CD640D" w:rsidP="008B7E9D">
      <w:pPr>
        <w:pStyle w:val="Heading1"/>
      </w:pPr>
      <w:bookmarkStart w:id="3" w:name="_Toc526876294"/>
      <w:r w:rsidRPr="008B7E9D">
        <w:t>INTRODUCTION</w:t>
      </w:r>
      <w:bookmarkEnd w:id="3"/>
    </w:p>
    <w:p w14:paraId="2562DA83" w14:textId="77777777" w:rsidR="00CD640D" w:rsidRDefault="00CD640D" w:rsidP="00F4186E">
      <w:pPr>
        <w:jc w:val="both"/>
      </w:pPr>
    </w:p>
    <w:p w14:paraId="5C659FF1" w14:textId="2DD2C78C" w:rsidR="00CD640D" w:rsidRDefault="00B308B9" w:rsidP="00721A05">
      <w:pPr>
        <w:ind w:firstLine="720"/>
        <w:jc w:val="both"/>
      </w:pPr>
      <w:r>
        <w:t xml:space="preserve">The Biodiversity Finance Plan (BFP) </w:t>
      </w:r>
      <w:r w:rsidR="006148C6">
        <w:t xml:space="preserve">of Sri Lanka </w:t>
      </w:r>
      <w:r w:rsidR="001920EB">
        <w:t>presents</w:t>
      </w:r>
      <w:r>
        <w:t xml:space="preserve"> a detailed and prioritized </w:t>
      </w:r>
      <w:r w:rsidR="00251386">
        <w:t xml:space="preserve">set of </w:t>
      </w:r>
      <w:r>
        <w:t xml:space="preserve">multiple finance solutions with a </w:t>
      </w:r>
      <w:r w:rsidR="00251386">
        <w:t xml:space="preserve">seven-year </w:t>
      </w:r>
      <w:r>
        <w:t xml:space="preserve">implementation </w:t>
      </w:r>
      <w:r w:rsidR="00251386">
        <w:t xml:space="preserve">time horizon (2018 - 2024). </w:t>
      </w:r>
      <w:r w:rsidR="0038010D">
        <w:t>The Plan intends to support sustainable biodiversity management effort of Sri Lanka</w:t>
      </w:r>
      <w:r w:rsidR="00AE42AA">
        <w:t xml:space="preserve"> by mobilizing finance for investing in biodiversity.</w:t>
      </w:r>
    </w:p>
    <w:p w14:paraId="41B5BDE9" w14:textId="2B40ED5C" w:rsidR="009D591A" w:rsidRDefault="00AE42AA" w:rsidP="00F4186E">
      <w:pPr>
        <w:jc w:val="both"/>
      </w:pPr>
      <w:r>
        <w:t>Biodiversity management involves conservation and promotion of biodiversity as well as its sustainable and equitable use for the benefit of the nation. Mobilization of finance resources means the additional amount of finance needed by Sri Lanka</w:t>
      </w:r>
      <w:r w:rsidR="00573954">
        <w:t xml:space="preserve"> above what is currently spent on biodiversity and environment related activities. </w:t>
      </w:r>
      <w:r w:rsidR="006148C6">
        <w:t xml:space="preserve">The strategy also recognizes diversifying sources of finance to involve both the public and private sector as well as core and non-core biodiversity institutions. </w:t>
      </w:r>
      <w:r w:rsidR="00573954">
        <w:t>The finance solutions listed in the Plan are concerned with four types of resource mobilization strategies: generating finances through new sources, realigning the existing expenditure, avoiding future expenditure and, delivering better outcomes with existing expenditure.</w:t>
      </w:r>
    </w:p>
    <w:p w14:paraId="744379EB" w14:textId="77777777" w:rsidR="003E1477" w:rsidRDefault="003E1477" w:rsidP="00F4186E">
      <w:pPr>
        <w:jc w:val="both"/>
      </w:pPr>
    </w:p>
    <w:p w14:paraId="5BA92A40" w14:textId="77777777" w:rsidR="00C2315E" w:rsidRPr="00C2315E" w:rsidRDefault="00C2315E" w:rsidP="008D23E4">
      <w:pPr>
        <w:pStyle w:val="Heading3"/>
      </w:pPr>
      <w:bookmarkStart w:id="4" w:name="_Toc526876295"/>
      <w:r w:rsidRPr="00C2315E">
        <w:t>Aims and Objectives of the Plan</w:t>
      </w:r>
      <w:bookmarkEnd w:id="4"/>
    </w:p>
    <w:p w14:paraId="03C6B916" w14:textId="5DC931B4" w:rsidR="00C2315E" w:rsidRDefault="00C2315E" w:rsidP="00C2315E">
      <w:pPr>
        <w:jc w:val="both"/>
      </w:pPr>
      <w:r>
        <w:t xml:space="preserve">The BFP is aimed at presenting Sri Lanka’s national approach to biodiversity financing </w:t>
      </w:r>
      <w:r w:rsidR="006148C6">
        <w:t xml:space="preserve">through the development of priority </w:t>
      </w:r>
      <w:r>
        <w:t>finance solutions. It is presented as a coherent and comprehensive approach with an active engagement by the stakeholders represent</w:t>
      </w:r>
      <w:r w:rsidR="006148C6">
        <w:t>ing</w:t>
      </w:r>
      <w:r>
        <w:t xml:space="preserve"> the government, private sector, and the civil society. The plan is expected to expand and improve bi</w:t>
      </w:r>
      <w:r w:rsidR="00AD1193">
        <w:t>odiversity finance in Sri Lanka thereby achieving the national biodiversity targets.</w:t>
      </w:r>
    </w:p>
    <w:p w14:paraId="79B740AE" w14:textId="77777777" w:rsidR="00AD1193" w:rsidRDefault="00AD1193" w:rsidP="00C2315E">
      <w:pPr>
        <w:jc w:val="both"/>
      </w:pPr>
      <w:r>
        <w:t>The specific objectives of the Plan are as follows:</w:t>
      </w:r>
    </w:p>
    <w:p w14:paraId="06393C30" w14:textId="2A1F9FAF" w:rsidR="00AD1193" w:rsidRPr="00814962" w:rsidRDefault="00AD1193" w:rsidP="003E1477">
      <w:pPr>
        <w:pStyle w:val="ListParagraph"/>
        <w:numPr>
          <w:ilvl w:val="0"/>
          <w:numId w:val="3"/>
        </w:numPr>
      </w:pPr>
      <w:r>
        <w:t>To prioritize and optimize a final list of finance solutions, by carrying out a</w:t>
      </w:r>
      <w:r w:rsidR="00C2315E" w:rsidRPr="00814962">
        <w:t xml:space="preserve">n analysis of </w:t>
      </w:r>
      <w:r w:rsidRPr="00814962">
        <w:t>available</w:t>
      </w:r>
      <w:r w:rsidR="00C2315E" w:rsidRPr="00814962">
        <w:t xml:space="preserve"> and potential finance solutions</w:t>
      </w:r>
    </w:p>
    <w:p w14:paraId="5CC6C358" w14:textId="77777777" w:rsidR="00AD1193" w:rsidRPr="00814962" w:rsidRDefault="00AD1193" w:rsidP="003E1477">
      <w:pPr>
        <w:pStyle w:val="ListParagraph"/>
        <w:numPr>
          <w:ilvl w:val="0"/>
          <w:numId w:val="3"/>
        </w:numPr>
      </w:pPr>
      <w:r w:rsidRPr="00814962">
        <w:t>To present</w:t>
      </w:r>
      <w:r w:rsidR="00C2315E" w:rsidRPr="00814962">
        <w:t xml:space="preserve"> financial needs, biodiversity targets and strategies that can</w:t>
      </w:r>
      <w:r w:rsidRPr="00814962">
        <w:t xml:space="preserve"> </w:t>
      </w:r>
      <w:r w:rsidR="00C2315E" w:rsidRPr="00814962">
        <w:t>be linked to the</w:t>
      </w:r>
      <w:r w:rsidRPr="00814962">
        <w:t xml:space="preserve"> prioritized finance solutions</w:t>
      </w:r>
    </w:p>
    <w:p w14:paraId="5040F2DD" w14:textId="77777777" w:rsidR="00AD1193" w:rsidRPr="00814962" w:rsidRDefault="00AD1193" w:rsidP="003E1477">
      <w:pPr>
        <w:pStyle w:val="ListParagraph"/>
        <w:numPr>
          <w:ilvl w:val="0"/>
          <w:numId w:val="3"/>
        </w:numPr>
      </w:pPr>
      <w:r w:rsidRPr="00814962">
        <w:t xml:space="preserve">To provide </w:t>
      </w:r>
      <w:r w:rsidR="00C2315E" w:rsidRPr="00814962">
        <w:t xml:space="preserve">technical proposals to </w:t>
      </w:r>
      <w:r w:rsidRPr="00814962">
        <w:t>operationalize the</w:t>
      </w:r>
      <w:r w:rsidR="00C2315E" w:rsidRPr="00814962">
        <w:t xml:space="preserve"> prioritized</w:t>
      </w:r>
      <w:r w:rsidRPr="00814962">
        <w:t xml:space="preserve"> biodiversity finance solutions</w:t>
      </w:r>
    </w:p>
    <w:p w14:paraId="66B1F7B4" w14:textId="77777777" w:rsidR="00814962" w:rsidRPr="00814962" w:rsidRDefault="00AD1193" w:rsidP="003E1477">
      <w:pPr>
        <w:pStyle w:val="ListParagraph"/>
        <w:numPr>
          <w:ilvl w:val="0"/>
          <w:numId w:val="3"/>
        </w:numPr>
      </w:pPr>
      <w:r w:rsidRPr="00814962">
        <w:t xml:space="preserve">To present a </w:t>
      </w:r>
      <w:r w:rsidR="00C2315E" w:rsidRPr="00814962">
        <w:t xml:space="preserve">clear </w:t>
      </w:r>
      <w:r w:rsidRPr="00814962">
        <w:t xml:space="preserve">business case </w:t>
      </w:r>
      <w:r w:rsidR="00814962" w:rsidRPr="00814962">
        <w:t xml:space="preserve">with an economic rationale for investing in biodiversity </w:t>
      </w:r>
      <w:r w:rsidR="00C2315E" w:rsidRPr="00814962">
        <w:t>to foster the implementation</w:t>
      </w:r>
      <w:r w:rsidRPr="00814962">
        <w:t xml:space="preserve"> of the Plan</w:t>
      </w:r>
      <w:r w:rsidR="00C2315E" w:rsidRPr="00814962">
        <w:t xml:space="preserve">. </w:t>
      </w:r>
    </w:p>
    <w:p w14:paraId="5478920D" w14:textId="09BBE482" w:rsidR="00C2315E" w:rsidRDefault="00814962" w:rsidP="003E1477">
      <w:pPr>
        <w:pStyle w:val="ListParagraph"/>
        <w:numPr>
          <w:ilvl w:val="0"/>
          <w:numId w:val="3"/>
        </w:numPr>
      </w:pPr>
      <w:r w:rsidRPr="00814962">
        <w:t xml:space="preserve">To </w:t>
      </w:r>
      <w:r w:rsidR="006148C6">
        <w:t xml:space="preserve">provide broad implementing guidelines by identifying a time frame, </w:t>
      </w:r>
      <w:r w:rsidR="00C2315E" w:rsidRPr="00814962">
        <w:t>mileston</w:t>
      </w:r>
      <w:r w:rsidRPr="00814962">
        <w:t>es</w:t>
      </w:r>
      <w:r w:rsidR="006148C6">
        <w:t xml:space="preserve"> </w:t>
      </w:r>
      <w:r w:rsidRPr="00814962">
        <w:t>and responsibilities</w:t>
      </w:r>
      <w:r w:rsidR="006B799E">
        <w:t>.</w:t>
      </w:r>
    </w:p>
    <w:p w14:paraId="3087D883" w14:textId="77777777" w:rsidR="003E1477" w:rsidRDefault="003E1477" w:rsidP="00F4186E">
      <w:pPr>
        <w:jc w:val="both"/>
        <w:rPr>
          <w:b/>
        </w:rPr>
      </w:pPr>
    </w:p>
    <w:p w14:paraId="6689E09F" w14:textId="77777777" w:rsidR="00C2315E" w:rsidRPr="003E1477" w:rsidRDefault="00C2315E" w:rsidP="008D23E4">
      <w:pPr>
        <w:pStyle w:val="Heading3"/>
      </w:pPr>
      <w:bookmarkStart w:id="5" w:name="_Toc526876296"/>
      <w:r w:rsidRPr="003E1477">
        <w:t>BIOFIN Process</w:t>
      </w:r>
      <w:bookmarkEnd w:id="5"/>
    </w:p>
    <w:p w14:paraId="527B1518" w14:textId="575CF4BF" w:rsidR="00AE42AA" w:rsidRDefault="00EE5F52" w:rsidP="00F4186E">
      <w:pPr>
        <w:jc w:val="both"/>
      </w:pPr>
      <w:r>
        <w:t xml:space="preserve">The </w:t>
      </w:r>
      <w:r w:rsidR="00394A1D">
        <w:t>BFP</w:t>
      </w:r>
      <w:r>
        <w:t xml:space="preserve"> </w:t>
      </w:r>
      <w:r w:rsidR="006148C6">
        <w:t xml:space="preserve">draws on three technical reports on biodiversity finance which were </w:t>
      </w:r>
      <w:r w:rsidR="009873F8">
        <w:t>completed in early 2018</w:t>
      </w:r>
      <w:r w:rsidR="00D126C3">
        <w:t xml:space="preserve"> and were</w:t>
      </w:r>
      <w:r w:rsidR="00D126C3" w:rsidRPr="00D126C3">
        <w:t xml:space="preserve"> </w:t>
      </w:r>
      <w:r w:rsidR="00D126C3">
        <w:t>guided by the BIOFIN Methodology</w:t>
      </w:r>
      <w:r w:rsidR="00C23E06">
        <w:t>:</w:t>
      </w:r>
    </w:p>
    <w:p w14:paraId="56E511AF" w14:textId="7DF4068E" w:rsidR="00C23E06" w:rsidRDefault="00C23E06" w:rsidP="009873F8">
      <w:pPr>
        <w:ind w:left="720"/>
        <w:jc w:val="both"/>
      </w:pPr>
      <w:r w:rsidRPr="00DF6324">
        <w:rPr>
          <w:b/>
        </w:rPr>
        <w:t>Policy and Institutional Review (PIR)</w:t>
      </w:r>
      <w:r w:rsidR="002E687D">
        <w:t xml:space="preserve"> that presented</w:t>
      </w:r>
      <w:r w:rsidR="006B54D4">
        <w:t xml:space="preserve"> </w:t>
      </w:r>
      <w:r w:rsidR="007D5DF2">
        <w:t xml:space="preserve">an analysis of </w:t>
      </w:r>
      <w:r w:rsidR="006B54D4">
        <w:t xml:space="preserve">Sri Lanka’s biodiversity-related policies and institutions with an assessment of the implications </w:t>
      </w:r>
      <w:r w:rsidR="006B54D4" w:rsidRPr="00D126C3">
        <w:t xml:space="preserve">of their </w:t>
      </w:r>
      <w:r w:rsidR="00D126C3" w:rsidRPr="00D126C3">
        <w:t xml:space="preserve">roles and responsibilities </w:t>
      </w:r>
      <w:r w:rsidR="007D5DF2" w:rsidRPr="00D126C3">
        <w:t>i</w:t>
      </w:r>
      <w:r w:rsidR="006B54D4" w:rsidRPr="00D126C3">
        <w:t>n biodiversity</w:t>
      </w:r>
      <w:r w:rsidR="00D126C3" w:rsidRPr="00D126C3">
        <w:t xml:space="preserve"> management</w:t>
      </w:r>
      <w:r w:rsidR="006B54D4" w:rsidRPr="00D126C3">
        <w:t>.</w:t>
      </w:r>
      <w:r w:rsidR="006B54D4">
        <w:t xml:space="preserve"> </w:t>
      </w:r>
    </w:p>
    <w:p w14:paraId="2CE449DB" w14:textId="0529924C" w:rsidR="00C23E06" w:rsidRDefault="00C23E06" w:rsidP="009873F8">
      <w:pPr>
        <w:ind w:left="720"/>
        <w:jc w:val="both"/>
      </w:pPr>
      <w:r w:rsidRPr="007D5DF2">
        <w:rPr>
          <w:b/>
        </w:rPr>
        <w:t>Biodiversity Expenditure Review (BER)</w:t>
      </w:r>
      <w:r w:rsidR="007D5DF2">
        <w:t xml:space="preserve"> provided an analysis on the country’s current expenditure of which by purpose or by implication there was a positive impact on biodiversity, including </w:t>
      </w:r>
      <w:r w:rsidR="006148C6">
        <w:t xml:space="preserve">direct and indirect expenditures, and </w:t>
      </w:r>
      <w:r w:rsidR="007D5DF2">
        <w:t>any reduction or elimination of pressure on biodiversity.</w:t>
      </w:r>
    </w:p>
    <w:p w14:paraId="4CF223E2" w14:textId="77777777" w:rsidR="00C23E06" w:rsidRDefault="00C23E06" w:rsidP="009873F8">
      <w:pPr>
        <w:ind w:left="720"/>
        <w:jc w:val="both"/>
      </w:pPr>
      <w:r w:rsidRPr="00921A4C">
        <w:rPr>
          <w:b/>
        </w:rPr>
        <w:t>Financial Needs Assessment (FNA)</w:t>
      </w:r>
      <w:r w:rsidR="00921A4C">
        <w:t xml:space="preserve"> provided a quantified financial requirement for </w:t>
      </w:r>
      <w:r w:rsidR="00F904CF">
        <w:t xml:space="preserve">the implementation of the biodiversity strategies of </w:t>
      </w:r>
      <w:r w:rsidR="00921A4C">
        <w:t>Sri Lanka, in addition to the current biodiversity expenditure</w:t>
      </w:r>
      <w:r w:rsidR="00F904CF">
        <w:t xml:space="preserve">. </w:t>
      </w:r>
    </w:p>
    <w:p w14:paraId="11BC32A2" w14:textId="77777777" w:rsidR="00791098" w:rsidRDefault="00791098" w:rsidP="00791098">
      <w:pPr>
        <w:jc w:val="both"/>
      </w:pPr>
      <w:r>
        <w:t>According to the PIR, Sri Lanka has a comprehensive legal and sectoral policy and institutional framework in place to address the issue of sustainable biodiversity management. Nevertheless, efficient and effective implementation of policies for biodiversity management appears to have been constrained primarily by the limited institutional capacity and narrow fiscal space.</w:t>
      </w:r>
    </w:p>
    <w:p w14:paraId="7A5A8991" w14:textId="6DD44C1A" w:rsidR="00F5177D" w:rsidRDefault="00F5177D" w:rsidP="00704B09">
      <w:pPr>
        <w:jc w:val="both"/>
      </w:pPr>
      <w:r>
        <w:t>Fiscal management of the government of Sri Lanka has fundamental weaknesses that has gradually led to a significant contraction in fiscal space over time. Firstly, there has been a steady decline in tax revenue as a percentage of GDP over the past 25 years from about 19% of GDP in 1990 to 10% in 2014. It remained 11.6% of GDP in 2016 and estimated to be 13.5% of GDP in the current budget. This improvement depends largely on the efficiency of revenue collection – particularly with respect to income tax collection in the medium term.</w:t>
      </w:r>
    </w:p>
    <w:p w14:paraId="7E5C7D54" w14:textId="77777777" w:rsidR="00F5177D" w:rsidRDefault="00F5177D" w:rsidP="00704B09">
      <w:pPr>
        <w:jc w:val="both"/>
      </w:pPr>
      <w:r>
        <w:t>Secondly, the direct and indirect tax composition is unusually distorted and does not fall in line with a tax composition of an emerging middle-income country. The income tax share remains as small as 16.5% of total tax revenue as of 2016, indicating the government’s tax revenue is generated largely from indirect taxes. In an efficient and fair taxation system, direct tax component should rise relieving indirect tax burden.</w:t>
      </w:r>
    </w:p>
    <w:p w14:paraId="3D40F0E2" w14:textId="77777777" w:rsidR="00F5177D" w:rsidRDefault="00F5177D" w:rsidP="00704B09">
      <w:pPr>
        <w:jc w:val="both"/>
      </w:pPr>
      <w:r>
        <w:t xml:space="preserve">Thirdly, over a long period of time recurrent expenditure remained above the tax revenue as well as above total government revenue, resulting in a revenue deficit. In other words, revenue deficit means that the total amount of public investment </w:t>
      </w:r>
      <w:r w:rsidRPr="006B76CC">
        <w:rPr>
          <w:i/>
        </w:rPr>
        <w:t>plus</w:t>
      </w:r>
      <w:r>
        <w:t xml:space="preserve"> part of the recurrent expenditure </w:t>
      </w:r>
      <w:proofErr w:type="gramStart"/>
      <w:r>
        <w:t>has to</w:t>
      </w:r>
      <w:proofErr w:type="gramEnd"/>
      <w:r>
        <w:t xml:space="preserve"> be financed by borrowings. </w:t>
      </w:r>
    </w:p>
    <w:p w14:paraId="7F65E132" w14:textId="1B628032" w:rsidR="00F5177D" w:rsidRDefault="00F5177D" w:rsidP="00704B09">
      <w:pPr>
        <w:jc w:val="both"/>
      </w:pPr>
      <w:r>
        <w:t>Fourthly, outstanding public debt as of now amounts to over LKR 10,000 billion or about 75% of GDP. What is disturbing is, however, not the debt-GDP ratio, but the annual debt service payment which is nearly the same as government’s tax revenue; in 2016, debt service payment was LKR 1,349 billion, while government’s tax revenue was LKR 1,432 billion. In other words, this means that borrowing has become unavoidable to sustain annual debt service payment.</w:t>
      </w:r>
    </w:p>
    <w:p w14:paraId="294A15BE" w14:textId="4B37D262" w:rsidR="00F5177D" w:rsidRDefault="00F5177D" w:rsidP="00704B09">
      <w:pPr>
        <w:jc w:val="both"/>
      </w:pPr>
      <w:r>
        <w:t xml:space="preserve">The fundamental weaknesses of fiscal management </w:t>
      </w:r>
      <w:proofErr w:type="gramStart"/>
      <w:r>
        <w:t>reflects</w:t>
      </w:r>
      <w:proofErr w:type="gramEnd"/>
      <w:r>
        <w:t xml:space="preserve"> a rather narrow fiscal space within government budget to generate extra funds for any financing gaps in biodiversity. In fact, as fiscal space become tight it is naturally the less-sensitive expenditure allocations </w:t>
      </w:r>
      <w:r w:rsidR="00704B09">
        <w:t>that</w:t>
      </w:r>
      <w:r>
        <w:t xml:space="preserve"> become the target for saving much needed funds for more-sensitive spending. More than two-third of recurrent expenditure in the budget accounts for salaries and wages, and interest payments, which cannot be slashed. Inadequate financing has been pointed out as one of the major </w:t>
      </w:r>
      <w:proofErr w:type="gramStart"/>
      <w:r>
        <w:t>constraint</w:t>
      </w:r>
      <w:proofErr w:type="gramEnd"/>
      <w:r>
        <w:t xml:space="preserve"> in biodiversity initiatives in </w:t>
      </w:r>
      <w:r w:rsidRPr="007976A1">
        <w:rPr>
          <w:i/>
        </w:rPr>
        <w:t>NBSAP 2016-2022</w:t>
      </w:r>
      <w:r>
        <w:t xml:space="preserve"> </w:t>
      </w:r>
      <w:sdt>
        <w:sdtPr>
          <w:id w:val="-1685967741"/>
          <w:citation/>
        </w:sdtPr>
        <w:sdtEndPr/>
        <w:sdtContent>
          <w:r>
            <w:fldChar w:fldCharType="begin"/>
          </w:r>
          <w:r>
            <w:instrText xml:space="preserve">CITATION BDS16 \t  \l 1033 </w:instrText>
          </w:r>
          <w:r>
            <w:fldChar w:fldCharType="separate"/>
          </w:r>
          <w:r>
            <w:rPr>
              <w:noProof/>
            </w:rPr>
            <w:t>(BDS, 2016)</w:t>
          </w:r>
          <w:r>
            <w:fldChar w:fldCharType="end"/>
          </w:r>
        </w:sdtContent>
      </w:sdt>
      <w:r>
        <w:t xml:space="preserve">. The narrow fiscal space of the government shows that improvements in budgetary operations is required in order to face the challenges of biodiversity finance. </w:t>
      </w:r>
    </w:p>
    <w:p w14:paraId="1A30EF98" w14:textId="77777777" w:rsidR="00F5177D" w:rsidRDefault="00F5177D" w:rsidP="00704B09">
      <w:pPr>
        <w:jc w:val="both"/>
      </w:pPr>
      <w:r>
        <w:t>A second area of biodiversity financing issues is likely to be the rather complex institutional mechanisms and related regulatory barriers. As it appears that such a system might have resulted in expenditure inefficiencies. The streamlining of the institutional mechanisms would be another area that needs to be focused on improving the efficiency and effectiveness of biodiversity financing.</w:t>
      </w:r>
    </w:p>
    <w:p w14:paraId="3F839AA0" w14:textId="77777777" w:rsidR="00F5177D" w:rsidRDefault="00F5177D" w:rsidP="00704B09">
      <w:pPr>
        <w:jc w:val="both"/>
      </w:pPr>
      <w:r>
        <w:t xml:space="preserve">A third area of biodiversity financing that presents an opportunity is the expansion of space for the corporate sector to play a major role on its own as well as in partnership with the government agencies. The corporate sector has already initiated stepping into the area of biodiversity conservation as part of its core businesses without any government incentive. Therefore, it is necessary to </w:t>
      </w:r>
      <w:proofErr w:type="gramStart"/>
      <w:r>
        <w:t>make an assessment of</w:t>
      </w:r>
      <w:proofErr w:type="gramEnd"/>
      <w:r>
        <w:t xml:space="preserve"> the magnitude of biodiversity financing by the corporate sector and take measures to capitalize on this initiative.</w:t>
      </w:r>
    </w:p>
    <w:p w14:paraId="00578054" w14:textId="378ED17E" w:rsidR="00921A4C" w:rsidRDefault="004A125F" w:rsidP="00F4186E">
      <w:pPr>
        <w:jc w:val="both"/>
      </w:pPr>
      <w:r>
        <w:t xml:space="preserve">As the </w:t>
      </w:r>
      <w:r w:rsidR="004C4B2F">
        <w:t xml:space="preserve">PIR further elaborates, Sri Lanka </w:t>
      </w:r>
      <w:r w:rsidR="004C4B2F" w:rsidRPr="004C4B2F">
        <w:t>seeks to further liberalize and globalize the economy and contain the budget deficit and public debt on a sustained path of fiscal consolidation, to achieve macroeconomic stability in the country. Further, Sri Lanka’s fiscal policy structure has focused in the past primarily on managing the private goods market and the public service sector and this continues. There are hardly any fiscal policies to regulate public goods, where open market forces do not operate, such as forests, water, watersheds, soil, coastal areas, etc. As such, these valuable ecosystem services offered freely to the public are often unrecognized.</w:t>
      </w:r>
    </w:p>
    <w:p w14:paraId="37E2C738" w14:textId="1C243F83" w:rsidR="00BE55D5" w:rsidRDefault="00282852" w:rsidP="00F4186E">
      <w:pPr>
        <w:jc w:val="both"/>
      </w:pPr>
      <w:r>
        <w:t xml:space="preserve">The </w:t>
      </w:r>
      <w:r w:rsidR="00872308">
        <w:t>BER shows that direct and indirect biodiversity expenditure of Sri Lanka has remained around 0.2 - 0.3 of annual government expenditure and, less than 0.</w:t>
      </w:r>
      <w:r w:rsidR="001463DB">
        <w:t xml:space="preserve">1 percent of GDP </w:t>
      </w:r>
      <w:r w:rsidR="00872308">
        <w:t xml:space="preserve">during the period 2010 - 2015. </w:t>
      </w:r>
      <w:r w:rsidR="00524515">
        <w:t>As an absolute amount, it was about</w:t>
      </w:r>
      <w:r w:rsidR="00363000">
        <w:t xml:space="preserve"> LKR</w:t>
      </w:r>
      <w:r w:rsidR="00524515">
        <w:t xml:space="preserve"> 7 billion </w:t>
      </w:r>
      <w:proofErr w:type="spellStart"/>
      <w:r w:rsidR="00524515">
        <w:t>as</w:t>
      </w:r>
      <w:proofErr w:type="spellEnd"/>
      <w:r w:rsidR="00524515">
        <w:t xml:space="preserve"> </w:t>
      </w:r>
      <w:r w:rsidR="00F904CF">
        <w:t>spent in</w:t>
      </w:r>
      <w:r w:rsidR="00524515">
        <w:t xml:space="preserve"> 2015. </w:t>
      </w:r>
      <w:r w:rsidR="002F116B">
        <w:t>While there is no record of sub-national spending on biodiversity, data on corporate spending is not reported.</w:t>
      </w:r>
      <w:r w:rsidR="00614B89">
        <w:t xml:space="preserve"> </w:t>
      </w:r>
      <w:r w:rsidR="00363000">
        <w:t xml:space="preserve">According to </w:t>
      </w:r>
      <w:r>
        <w:t xml:space="preserve">the </w:t>
      </w:r>
      <w:r w:rsidR="00363000">
        <w:t>FNA, the cumulative financial requirement over the seven-year time horizon (2018-2024) is estimated to be LKR</w:t>
      </w:r>
      <w:r w:rsidR="0041310D">
        <w:t xml:space="preserve"> 30</w:t>
      </w:r>
      <w:r w:rsidR="00614B89">
        <w:t>.7</w:t>
      </w:r>
      <w:r w:rsidR="0041310D">
        <w:t xml:space="preserve"> billion for the implementation of </w:t>
      </w:r>
      <w:r w:rsidR="00614B89">
        <w:t xml:space="preserve">actions for achieving national biodiversity targets. </w:t>
      </w:r>
    </w:p>
    <w:p w14:paraId="12018BBC" w14:textId="32ABB865" w:rsidR="00305B51" w:rsidRDefault="00163A10" w:rsidP="00F4186E">
      <w:pPr>
        <w:jc w:val="both"/>
      </w:pPr>
      <w:r>
        <w:t xml:space="preserve">The </w:t>
      </w:r>
      <w:r w:rsidR="00305B51">
        <w:t xml:space="preserve">BFP is prepared by taking into consideration </w:t>
      </w:r>
      <w:r w:rsidR="004641EB">
        <w:t>the issues related to the country’s policy and institutional framework, the narrow fiscal space of the government and, the specific requirements of the biodiversity financial needs of the country.</w:t>
      </w:r>
    </w:p>
    <w:p w14:paraId="605A6BBC" w14:textId="77777777" w:rsidR="003E1477" w:rsidRDefault="003E1477" w:rsidP="00F4186E">
      <w:pPr>
        <w:jc w:val="both"/>
      </w:pPr>
    </w:p>
    <w:p w14:paraId="07E3ED3B" w14:textId="77777777" w:rsidR="001920EB" w:rsidRPr="003E1477" w:rsidRDefault="003E1477" w:rsidP="008D23E4">
      <w:pPr>
        <w:pStyle w:val="Heading3"/>
      </w:pPr>
      <w:bookmarkStart w:id="6" w:name="_Toc526876297"/>
      <w:r w:rsidRPr="003E1477">
        <w:t>Methodology</w:t>
      </w:r>
      <w:bookmarkEnd w:id="6"/>
    </w:p>
    <w:p w14:paraId="4E10B36B" w14:textId="386C6EA5" w:rsidR="003E1477" w:rsidRDefault="008B5A4C" w:rsidP="00F4186E">
      <w:pPr>
        <w:jc w:val="both"/>
      </w:pPr>
      <w:r>
        <w:t xml:space="preserve">The final list of finance solutions </w:t>
      </w:r>
      <w:proofErr w:type="gramStart"/>
      <w:r>
        <w:t>were</w:t>
      </w:r>
      <w:proofErr w:type="gramEnd"/>
      <w:r>
        <w:t xml:space="preserve"> </w:t>
      </w:r>
      <w:r w:rsidR="00EB313D">
        <w:t xml:space="preserve">selected, analyzed and prioritized through a participatory approach </w:t>
      </w:r>
      <w:r w:rsidR="00282852">
        <w:t>involving</w:t>
      </w:r>
      <w:r w:rsidR="00DD28B8">
        <w:t xml:space="preserve"> technical experts </w:t>
      </w:r>
      <w:r w:rsidR="00EB313D">
        <w:t xml:space="preserve">from the government, private sector and, civil society. The analysis was carried out </w:t>
      </w:r>
      <w:r w:rsidR="00765215">
        <w:t xml:space="preserve">by the experts </w:t>
      </w:r>
      <w:r w:rsidR="00DA5F35">
        <w:t xml:space="preserve">and the BIOFIN Team </w:t>
      </w:r>
      <w:r w:rsidR="00EB313D">
        <w:t xml:space="preserve">at </w:t>
      </w:r>
      <w:r w:rsidR="00765215">
        <w:t>a two-day</w:t>
      </w:r>
      <w:r w:rsidR="00EB313D">
        <w:t xml:space="preserve"> Workshop </w:t>
      </w:r>
      <w:r w:rsidR="006111E8">
        <w:t xml:space="preserve">- </w:t>
      </w:r>
      <w:r w:rsidR="006111E8" w:rsidRPr="006111E8">
        <w:t>Expert Consultative Meeting</w:t>
      </w:r>
      <w:r w:rsidR="006111E8">
        <w:t xml:space="preserve">, </w:t>
      </w:r>
      <w:r w:rsidR="00765215">
        <w:t>held on 20-21 March 2018</w:t>
      </w:r>
      <w:r w:rsidR="003B196E">
        <w:t xml:space="preserve"> (</w:t>
      </w:r>
      <w:r w:rsidR="003B196E" w:rsidRPr="006721E3">
        <w:t>Annex</w:t>
      </w:r>
      <w:r w:rsidR="003B196E">
        <w:t>)</w:t>
      </w:r>
      <w:r w:rsidR="00765215">
        <w:t xml:space="preserve">. For this </w:t>
      </w:r>
      <w:proofErr w:type="gramStart"/>
      <w:r w:rsidR="00765215">
        <w:t>purpose</w:t>
      </w:r>
      <w:proofErr w:type="gramEnd"/>
      <w:r w:rsidR="00765215">
        <w:t xml:space="preserve"> t</w:t>
      </w:r>
      <w:r w:rsidR="00EB313D">
        <w:t xml:space="preserve">he finance solutions </w:t>
      </w:r>
      <w:r>
        <w:t xml:space="preserve">from among the </w:t>
      </w:r>
      <w:r w:rsidR="003B196E">
        <w:t>BIOFIN Finance Solutions C</w:t>
      </w:r>
      <w:r>
        <w:t xml:space="preserve">atalogue </w:t>
      </w:r>
      <w:r w:rsidR="003B196E">
        <w:t xml:space="preserve">(the Catalogue) </w:t>
      </w:r>
      <w:r w:rsidR="00765215">
        <w:t xml:space="preserve">and the data tool were used. </w:t>
      </w:r>
    </w:p>
    <w:p w14:paraId="71BFF88B" w14:textId="77777777" w:rsidR="000B3DCC" w:rsidRDefault="000B3DCC" w:rsidP="000B3DCC">
      <w:pPr>
        <w:jc w:val="both"/>
      </w:pPr>
      <w:r>
        <w:t>The methodology for preparing the prioritized list of finance solutions consisted of following steps:</w:t>
      </w:r>
    </w:p>
    <w:p w14:paraId="6CAEE32E" w14:textId="6D7F898C" w:rsidR="000B3DCC" w:rsidRDefault="000B3DCC" w:rsidP="000B3DCC">
      <w:pPr>
        <w:jc w:val="both"/>
      </w:pPr>
      <w:r w:rsidRPr="00BE5547">
        <w:rPr>
          <w:b/>
        </w:rPr>
        <w:t>Step 1</w:t>
      </w:r>
      <w:r>
        <w:t>: Technical experts analyzed each of the finance solutions listed in the Catalogue and short listed the appropriate and feasible options for Sri Lanka’s national approach to biodiversity financing. Both lists - the comprehensive Catalogue and the short list, were examined by the participants at the Workshop who finalized a short list comprising 46 solutions out of over 100 in the Catalogue.</w:t>
      </w:r>
    </w:p>
    <w:p w14:paraId="0C4E5121" w14:textId="77777777" w:rsidR="000B3DCC" w:rsidRDefault="000B3DCC" w:rsidP="000B3DCC">
      <w:pPr>
        <w:jc w:val="both"/>
      </w:pPr>
      <w:r w:rsidRPr="00BE5547">
        <w:rPr>
          <w:b/>
        </w:rPr>
        <w:t>Step 2</w:t>
      </w:r>
      <w:r>
        <w:t xml:space="preserve">: Rapid and Detailed screening process was carried out at two stages in order to scrutinize and select the prioritized list of finance solutions. </w:t>
      </w:r>
    </w:p>
    <w:p w14:paraId="338B0461" w14:textId="77777777" w:rsidR="000B3DCC" w:rsidRDefault="000B3DCC" w:rsidP="000B3DCC">
      <w:pPr>
        <w:ind w:left="720"/>
        <w:jc w:val="both"/>
      </w:pPr>
      <w:r>
        <w:t xml:space="preserve">(2A) In the Rapid screening process, as in the given data tool, each finance solution was assessed </w:t>
      </w:r>
      <w:proofErr w:type="gramStart"/>
      <w:r>
        <w:t>on the basis of</w:t>
      </w:r>
      <w:proofErr w:type="gramEnd"/>
      <w:r>
        <w:t xml:space="preserve"> four straightforward criteria: (a) </w:t>
      </w:r>
      <w:r w:rsidRPr="00DD28B8">
        <w:t xml:space="preserve">Potential for </w:t>
      </w:r>
      <w:r>
        <w:t>biodiversity i</w:t>
      </w:r>
      <w:r w:rsidRPr="00DD28B8">
        <w:t>mpact</w:t>
      </w:r>
      <w:r>
        <w:t>, (b) Scale of f</w:t>
      </w:r>
      <w:r w:rsidRPr="00DD28B8">
        <w:t>inancial opportunity</w:t>
      </w:r>
      <w:r>
        <w:t xml:space="preserve">, (c) </w:t>
      </w:r>
      <w:r w:rsidRPr="00DD28B8">
        <w:t>Political feasibility and likelihood of success</w:t>
      </w:r>
      <w:r>
        <w:t xml:space="preserve"> and, (d) </w:t>
      </w:r>
      <w:r w:rsidRPr="00DD28B8">
        <w:t>Estimated timeline for deployment</w:t>
      </w:r>
      <w:r>
        <w:t xml:space="preserve">. The Rapid screening process produced a list of finance solutions that are deemed “realistic”. </w:t>
      </w:r>
    </w:p>
    <w:p w14:paraId="7733C936" w14:textId="153DB469" w:rsidR="000B3DCC" w:rsidRDefault="000B3DCC" w:rsidP="000B3DCC">
      <w:pPr>
        <w:ind w:left="720"/>
        <w:jc w:val="both"/>
      </w:pPr>
      <w:r>
        <w:t xml:space="preserve">(2B) The Detailed screening process is a thorough review process through which each of the finance solutions was reviewed </w:t>
      </w:r>
      <w:proofErr w:type="gramStart"/>
      <w:r>
        <w:t>on the basis of</w:t>
      </w:r>
      <w:proofErr w:type="gramEnd"/>
      <w:r>
        <w:t xml:space="preserve"> the answers to a set of given questions in the data tool. The sum of the scores for each finance solution provided a benchmark   for prioritizing and choosing the final set of finance solutions for the Plan. With the completion of both Rapid and Detailed screening proces</w:t>
      </w:r>
      <w:r w:rsidR="00AF08AD">
        <w:t>s, thus 16</w:t>
      </w:r>
      <w:r>
        <w:t xml:space="preserve"> finance solutions were prioritized and chosen.</w:t>
      </w:r>
    </w:p>
    <w:p w14:paraId="18BB23DE" w14:textId="77777777" w:rsidR="005F7692" w:rsidRDefault="00AD4121" w:rsidP="00F4186E">
      <w:pPr>
        <w:jc w:val="both"/>
      </w:pPr>
      <w:r w:rsidRPr="00BE5547">
        <w:rPr>
          <w:b/>
        </w:rPr>
        <w:t>Step 3</w:t>
      </w:r>
      <w:r>
        <w:t xml:space="preserve">: </w:t>
      </w:r>
      <w:r w:rsidR="00C24811">
        <w:t xml:space="preserve">The mix of prioritized finance solutions were further assessed by the BIOFIN Team with necessary consultations as a “robust” package of solutions for the medium-term plan horizon. This assessment was based on an examination of </w:t>
      </w:r>
      <w:r w:rsidR="00547AAB">
        <w:t xml:space="preserve">each solution according to a set of guidelines proposed in the BIOFIN Workbook as well as country-specific </w:t>
      </w:r>
      <w:r w:rsidR="00F976EC">
        <w:t xml:space="preserve">guidelines that were highlighted in the study reports of the BIOFIN </w:t>
      </w:r>
      <w:r w:rsidR="005F7692">
        <w:t>process - PIR, BER and, FNA:</w:t>
      </w:r>
      <w:r w:rsidR="00F976EC">
        <w:t xml:space="preserve"> </w:t>
      </w:r>
    </w:p>
    <w:p w14:paraId="5E5BA9E1" w14:textId="77777777" w:rsidR="005F7692" w:rsidRDefault="004B2CE2" w:rsidP="004B2CE2">
      <w:pPr>
        <w:ind w:left="720"/>
        <w:jc w:val="both"/>
      </w:pPr>
      <w:r>
        <w:t xml:space="preserve">(3A) </w:t>
      </w:r>
      <w:r w:rsidR="00F976EC">
        <w:t>BIOFIN Workbook 2016 (p.227) proposes (a) financial adequacy</w:t>
      </w:r>
      <w:r>
        <w:t xml:space="preserve"> of resource mobilization</w:t>
      </w:r>
      <w:r w:rsidR="00F976EC">
        <w:t>, (b) diversity of solutions</w:t>
      </w:r>
      <w:r>
        <w:t xml:space="preserve"> by maximizing the width and depth of impact and minimizing the risks of failures</w:t>
      </w:r>
      <w:r w:rsidR="00F976EC">
        <w:t xml:space="preserve">, (c) appropriate planning sequence </w:t>
      </w:r>
      <w:r>
        <w:t xml:space="preserve">within the given medium-term plan horizon </w:t>
      </w:r>
      <w:r w:rsidR="00F976EC">
        <w:t xml:space="preserve">and, (d) contribution </w:t>
      </w:r>
      <w:r>
        <w:t xml:space="preserve">by the solutions </w:t>
      </w:r>
      <w:r w:rsidR="00F976EC">
        <w:t>to sustainable development</w:t>
      </w:r>
      <w:r>
        <w:t xml:space="preserve"> goals (SDGs)</w:t>
      </w:r>
      <w:r w:rsidR="00F976EC">
        <w:t xml:space="preserve">. </w:t>
      </w:r>
    </w:p>
    <w:p w14:paraId="7D90F959" w14:textId="77777777" w:rsidR="00AD4121" w:rsidRDefault="004B2CE2" w:rsidP="004B2CE2">
      <w:pPr>
        <w:ind w:left="720"/>
        <w:jc w:val="both"/>
      </w:pPr>
      <w:r>
        <w:t xml:space="preserve">(3B) </w:t>
      </w:r>
      <w:r w:rsidR="00F976EC">
        <w:t xml:space="preserve">Country-specific criteria included the (a) nature and magnitude of biodiversity-related issues </w:t>
      </w:r>
      <w:r w:rsidR="005F7692">
        <w:t xml:space="preserve">directly </w:t>
      </w:r>
      <w:r w:rsidR="00F976EC">
        <w:t xml:space="preserve">addressed by the solutions, (b) </w:t>
      </w:r>
      <w:r w:rsidR="005F7692">
        <w:t>interdependence among the mix of solutions that reinforces each other, (c) sensitivity to the policy and institutional issues and, (d) biodiversity-related issues that are emphasized in the national and sectoral policy documents.</w:t>
      </w:r>
    </w:p>
    <w:p w14:paraId="3DBAB8A7" w14:textId="77777777" w:rsidR="009873F8" w:rsidRDefault="004B2CE2" w:rsidP="00F4186E">
      <w:pPr>
        <w:jc w:val="both"/>
      </w:pPr>
      <w:r>
        <w:t xml:space="preserve">The robustness of the package of solutions based on above two levels of criteria </w:t>
      </w:r>
      <w:proofErr w:type="gramStart"/>
      <w:r>
        <w:t>is considered to be</w:t>
      </w:r>
      <w:proofErr w:type="gramEnd"/>
      <w:r>
        <w:t xml:space="preserve"> important in producing the desired outputs and outcomes by implementing the finance solutions efficiently and effectively within the given plan horizon.</w:t>
      </w:r>
    </w:p>
    <w:p w14:paraId="3F4AB91B" w14:textId="675C3037" w:rsidR="001D1217" w:rsidRPr="00435A4C" w:rsidRDefault="001D2898" w:rsidP="00AE4DFC">
      <w:pPr>
        <w:jc w:val="both"/>
      </w:pPr>
      <w:r w:rsidRPr="00BE5547">
        <w:rPr>
          <w:b/>
        </w:rPr>
        <w:t>Step 4</w:t>
      </w:r>
      <w:r>
        <w:t xml:space="preserve">: The technical experts from both the government and private agencies </w:t>
      </w:r>
      <w:r w:rsidR="00282852">
        <w:t xml:space="preserve">who </w:t>
      </w:r>
      <w:r>
        <w:t xml:space="preserve">attended </w:t>
      </w:r>
      <w:r w:rsidR="001F20D3">
        <w:t xml:space="preserve">the Workshop also prepared the technical proposals for prioritized finance solutions. These draft proposals were screened and improved by the BIOFIN Team and </w:t>
      </w:r>
      <w:r w:rsidR="00282852">
        <w:t>used as inputs to this report.</w:t>
      </w:r>
      <w:r w:rsidR="001F20D3">
        <w:t xml:space="preserve"> Technical Proposals for each of the prioritized finance solutions are enclosed in </w:t>
      </w:r>
      <w:r w:rsidR="00435A4C" w:rsidRPr="00435A4C">
        <w:t>the Annexure</w:t>
      </w:r>
      <w:r w:rsidR="001F20D3" w:rsidRPr="00435A4C">
        <w:t>.</w:t>
      </w:r>
      <w:r w:rsidRPr="00435A4C">
        <w:t xml:space="preserve"> </w:t>
      </w:r>
    </w:p>
    <w:p w14:paraId="30AC23DD" w14:textId="77777777" w:rsidR="007D32E5" w:rsidRDefault="00435A4C" w:rsidP="00AE4DFC">
      <w:pPr>
        <w:jc w:val="both"/>
      </w:pPr>
      <w:r>
        <w:t xml:space="preserve">Finally, all the finance solutions were reviewed thoroughly in order to identify the most appropriate implementable mix of prioritized solutions. At this </w:t>
      </w:r>
      <w:r w:rsidR="002211AA">
        <w:t>point of screening, multiple projects were planned under</w:t>
      </w:r>
      <w:r>
        <w:t xml:space="preserve"> some of</w:t>
      </w:r>
      <w:r w:rsidR="002211AA">
        <w:t xml:space="preserve"> the finance solutions. In addition, some of the solutions that were selected at initial steps were not brought into the planning process mainly due to the lack of adequate information for their </w:t>
      </w:r>
      <w:r w:rsidR="004454A3">
        <w:t>planning and successful implementation</w:t>
      </w:r>
      <w:r w:rsidR="002211AA">
        <w:t xml:space="preserve">. </w:t>
      </w:r>
    </w:p>
    <w:p w14:paraId="56E8B412" w14:textId="77777777" w:rsidR="008D23E4" w:rsidRDefault="008D23E4" w:rsidP="001D1217"/>
    <w:p w14:paraId="3850E7C3" w14:textId="0D2E2B40" w:rsidR="00AE4DFC" w:rsidRDefault="00AE4DFC" w:rsidP="001D1217"/>
    <w:p w14:paraId="3F3DEC6C" w14:textId="45A3D196" w:rsidR="00D373EC" w:rsidRDefault="00D373EC" w:rsidP="001D1217"/>
    <w:p w14:paraId="38AC45FA" w14:textId="44056388" w:rsidR="00D373EC" w:rsidRDefault="00D373EC" w:rsidP="001D1217"/>
    <w:p w14:paraId="1DC83ED6" w14:textId="261F56D5" w:rsidR="00D373EC" w:rsidRDefault="00D373EC" w:rsidP="001D1217"/>
    <w:p w14:paraId="1B5300F9" w14:textId="5A5910E5" w:rsidR="00D373EC" w:rsidRDefault="00D373EC" w:rsidP="001D1217"/>
    <w:p w14:paraId="25EA0320" w14:textId="77777777" w:rsidR="00D373EC" w:rsidRDefault="00D373EC" w:rsidP="001D1217"/>
    <w:p w14:paraId="12D7F9C9" w14:textId="77777777" w:rsidR="00AE4DFC" w:rsidRPr="007B6423" w:rsidRDefault="00AE4DFC" w:rsidP="001D1217"/>
    <w:p w14:paraId="14778679" w14:textId="77777777" w:rsidR="00BE5547" w:rsidRPr="008B7E9D" w:rsidRDefault="002B07D7" w:rsidP="008B7E9D">
      <w:pPr>
        <w:pStyle w:val="Heading1"/>
      </w:pPr>
      <w:bookmarkStart w:id="7" w:name="_Toc526876298"/>
      <w:r w:rsidRPr="008B7E9D">
        <w:t>THE PLAN</w:t>
      </w:r>
      <w:bookmarkEnd w:id="7"/>
    </w:p>
    <w:p w14:paraId="486E938B" w14:textId="77777777" w:rsidR="002B07D7" w:rsidRDefault="002B07D7" w:rsidP="00437B03">
      <w:pPr>
        <w:jc w:val="both"/>
      </w:pPr>
    </w:p>
    <w:p w14:paraId="2396A085" w14:textId="77777777" w:rsidR="002B07D7" w:rsidRPr="008B7E9D" w:rsidRDefault="00A67D84" w:rsidP="008B7E9D">
      <w:pPr>
        <w:pStyle w:val="Heading2"/>
      </w:pPr>
      <w:bookmarkStart w:id="8" w:name="_Toc526876299"/>
      <w:r w:rsidRPr="008B7E9D">
        <w:t xml:space="preserve">1. </w:t>
      </w:r>
      <w:r w:rsidR="002B07D7" w:rsidRPr="008B7E9D">
        <w:t>Vision</w:t>
      </w:r>
      <w:bookmarkEnd w:id="8"/>
    </w:p>
    <w:p w14:paraId="6498E05C" w14:textId="28537050" w:rsidR="002B07D7" w:rsidRDefault="00CF5DCF" w:rsidP="00437B03">
      <w:pPr>
        <w:jc w:val="both"/>
      </w:pPr>
      <w:r w:rsidRPr="00163A10">
        <w:t xml:space="preserve">The vision of the Biodiversity Finance Plan </w:t>
      </w:r>
      <w:r w:rsidR="003155FD" w:rsidRPr="00163A10">
        <w:t xml:space="preserve">(BFP) </w:t>
      </w:r>
      <w:r w:rsidRPr="00163A10">
        <w:t xml:space="preserve">is to establish mechanisms ensuring </w:t>
      </w:r>
      <w:r w:rsidR="00E87817" w:rsidRPr="00163A10">
        <w:t xml:space="preserve">finance results </w:t>
      </w:r>
      <w:r w:rsidRPr="00163A10">
        <w:t xml:space="preserve">for </w:t>
      </w:r>
      <w:r w:rsidR="00460B8C" w:rsidRPr="00163A10">
        <w:t xml:space="preserve">sustainable </w:t>
      </w:r>
      <w:r w:rsidRPr="00163A10">
        <w:t xml:space="preserve">biodiversity </w:t>
      </w:r>
      <w:r w:rsidR="00460B8C" w:rsidRPr="00163A10">
        <w:t xml:space="preserve">management </w:t>
      </w:r>
      <w:r w:rsidRPr="00163A10">
        <w:t>of Sri Lanka.</w:t>
      </w:r>
      <w:r w:rsidR="00163A10">
        <w:t xml:space="preserve"> These mechanisms are expected to generate adequate finances to fill current biodiversity financing gaps through diversified financing sources. It is also </w:t>
      </w:r>
      <w:r w:rsidR="004A513F">
        <w:t>expected</w:t>
      </w:r>
      <w:r w:rsidR="00163A10">
        <w:t xml:space="preserve"> to relieve the fiscal burden of government </w:t>
      </w:r>
      <w:r w:rsidR="004A513F">
        <w:t xml:space="preserve">in financing biodiversity </w:t>
      </w:r>
      <w:r w:rsidR="00163A10">
        <w:t>by recognizing the role of a broader spectrum of stakeholders including the private sector</w:t>
      </w:r>
      <w:r w:rsidR="004A513F">
        <w:t>.</w:t>
      </w:r>
    </w:p>
    <w:p w14:paraId="57E425A7" w14:textId="2210B90A" w:rsidR="00850457" w:rsidRDefault="00460B8C" w:rsidP="00460B8C">
      <w:pPr>
        <w:jc w:val="both"/>
      </w:pPr>
      <w:r>
        <w:t xml:space="preserve">The Plan will propose </w:t>
      </w:r>
      <w:r w:rsidR="00600E89">
        <w:t>a set of prioritized</w:t>
      </w:r>
      <w:r>
        <w:t xml:space="preserve"> finance solutions for improved investment in biodiversity through a combination of scaling-up and enhancement of existing finance solutions and the introduction of new and innovative solutions. The systems and structures that are designed to operationalize these solutions together with those that are already in place will be the mechanisms</w:t>
      </w:r>
      <w:r w:rsidR="00D3734A">
        <w:t xml:space="preserve"> of </w:t>
      </w:r>
      <w:r w:rsidR="00E87817">
        <w:t>generating finance results</w:t>
      </w:r>
      <w:r w:rsidR="00D3734A">
        <w:t xml:space="preserve"> for biodiversity management. </w:t>
      </w:r>
    </w:p>
    <w:p w14:paraId="668557A6" w14:textId="6D30271B" w:rsidR="00880054" w:rsidRDefault="00880054" w:rsidP="00460B8C">
      <w:pPr>
        <w:jc w:val="both"/>
      </w:pPr>
    </w:p>
    <w:p w14:paraId="24806F4C" w14:textId="77777777" w:rsidR="00A50BB3" w:rsidRPr="008B7E9D" w:rsidRDefault="00A50BB3" w:rsidP="008B7E9D">
      <w:pPr>
        <w:pStyle w:val="Heading3"/>
      </w:pPr>
      <w:bookmarkStart w:id="9" w:name="_Toc526876300"/>
      <w:r w:rsidRPr="008B7E9D">
        <w:t>Vision, contributing to the nation</w:t>
      </w:r>
      <w:bookmarkEnd w:id="9"/>
    </w:p>
    <w:p w14:paraId="6E3A70FA" w14:textId="11A79A64" w:rsidR="00CF5DCF" w:rsidRDefault="00091E4F" w:rsidP="00437B03">
      <w:pPr>
        <w:jc w:val="both"/>
      </w:pPr>
      <w:r>
        <w:t xml:space="preserve">Sri Lanka is committed to conserve its biodiversity and to ensure its sustainable and equitable use for the benefit of the nation. This commitment at national level is expected to be an integral part of the global commitment on protecting and restoring the earth’s biodiversity. </w:t>
      </w:r>
      <w:r w:rsidR="009B37A7">
        <w:t xml:space="preserve">In addition to the ratification of </w:t>
      </w:r>
      <w:r w:rsidR="00493E35">
        <w:t xml:space="preserve">the Convention on Biological Diversity (CBD) of the United Nations in 1994, </w:t>
      </w:r>
      <w:r w:rsidR="009B37A7">
        <w:t xml:space="preserve">Sri Lanka </w:t>
      </w:r>
      <w:r w:rsidR="00493E35">
        <w:t>has longstanding unilateral initiatives for protecting and promoting its biodiversity.</w:t>
      </w:r>
    </w:p>
    <w:p w14:paraId="530D13C4" w14:textId="76609B33" w:rsidR="00AA4F3F" w:rsidRDefault="00AA4F3F" w:rsidP="00437B03">
      <w:pPr>
        <w:jc w:val="both"/>
      </w:pPr>
      <w:r>
        <w:t>The need for conservation of</w:t>
      </w:r>
      <w:r w:rsidR="00D46B9C">
        <w:t>,</w:t>
      </w:r>
      <w:r>
        <w:t xml:space="preserve"> and sustainable and equitable use of biodiversity in Sri Lanka</w:t>
      </w:r>
      <w:r w:rsidR="00D46B9C">
        <w:t>,</w:t>
      </w:r>
      <w:r>
        <w:t xml:space="preserve"> is an outstanding case for </w:t>
      </w:r>
      <w:r w:rsidR="00C41103">
        <w:t xml:space="preserve">being an island nation of a biodiversity “hotspot” in the world. The case is further reinforced by increased population pressure and development effort </w:t>
      </w:r>
      <w:r w:rsidR="00086C7B">
        <w:t xml:space="preserve">on biodiversity </w:t>
      </w:r>
      <w:r w:rsidR="00C41103">
        <w:t xml:space="preserve">as well as </w:t>
      </w:r>
      <w:r w:rsidR="00086C7B">
        <w:t xml:space="preserve">mounting </w:t>
      </w:r>
      <w:r w:rsidR="00C41103">
        <w:t>vulnerability to climate change.</w:t>
      </w:r>
    </w:p>
    <w:p w14:paraId="37BC243D" w14:textId="6744A12C" w:rsidR="00173C83" w:rsidRDefault="00173C83" w:rsidP="00437B03">
      <w:pPr>
        <w:jc w:val="both"/>
      </w:pPr>
      <w:proofErr w:type="gramStart"/>
      <w:r>
        <w:t>In spite of</w:t>
      </w:r>
      <w:proofErr w:type="gramEnd"/>
      <w:r>
        <w:t xml:space="preserve"> the </w:t>
      </w:r>
      <w:r w:rsidR="000118CC" w:rsidRPr="000118CC">
        <w:t>need</w:t>
      </w:r>
      <w:r w:rsidR="002B02C7" w:rsidRPr="000118CC">
        <w:t xml:space="preserve"> </w:t>
      </w:r>
      <w:r>
        <w:t>of biodiversity conservation and its sustainable and equitable use and its recognition at policy level, one of the fundamental issues that Sri Lanka has to address is its financing.</w:t>
      </w:r>
      <w:r w:rsidR="00A421B0">
        <w:t xml:space="preserve"> Traditionally</w:t>
      </w:r>
      <w:r w:rsidR="009117B3">
        <w:t>,</w:t>
      </w:r>
      <w:r w:rsidR="00A421B0">
        <w:t xml:space="preserve"> spending on biodiversity </w:t>
      </w:r>
      <w:proofErr w:type="gramStart"/>
      <w:r w:rsidR="00A421B0">
        <w:t>was considered to be</w:t>
      </w:r>
      <w:proofErr w:type="gramEnd"/>
      <w:r w:rsidR="00A421B0">
        <w:t xml:space="preserve"> a responsibility of the government which has always been constrained by narrow fiscal space. For private economic activities, it was an additional cost driver that would squeeze the profit margin</w:t>
      </w:r>
      <w:r w:rsidR="00EF005A">
        <w:t xml:space="preserve"> and private gains. </w:t>
      </w:r>
      <w:r w:rsidR="00566FD4">
        <w:t>With increased awareness and global concern over the need for investing rather than spending on biodiversity, today it is universally accepted as part of the core economic activities of a nation that ensure</w:t>
      </w:r>
      <w:r w:rsidR="009117B3">
        <w:t>s</w:t>
      </w:r>
      <w:r w:rsidR="00566FD4">
        <w:t xml:space="preserve"> the sustainability of the national and private benefits of biodiversity.</w:t>
      </w:r>
    </w:p>
    <w:p w14:paraId="47C7106D" w14:textId="4EE803F4" w:rsidR="00F9674F" w:rsidRDefault="004B338B" w:rsidP="00437B03">
      <w:pPr>
        <w:jc w:val="both"/>
      </w:pPr>
      <w:r>
        <w:t>The need for investing in biodiversity by Sri Lanka as a nation should go beyond its ratification</w:t>
      </w:r>
      <w:r w:rsidR="000118CC">
        <w:t xml:space="preserve"> to the CBD</w:t>
      </w:r>
      <w:r>
        <w:t xml:space="preserve"> with actionable finance solutions </w:t>
      </w:r>
      <w:r w:rsidR="00D26A3B">
        <w:t xml:space="preserve">and </w:t>
      </w:r>
      <w:r>
        <w:t xml:space="preserve">effective participation </w:t>
      </w:r>
      <w:r w:rsidR="00A50BB3">
        <w:t>of</w:t>
      </w:r>
      <w:r>
        <w:t xml:space="preserve"> the stakeholders from the government, the private sector and the civil society. </w:t>
      </w:r>
      <w:r w:rsidR="00A50BB3">
        <w:t xml:space="preserve">The vision of the BFP is to ensure </w:t>
      </w:r>
      <w:r w:rsidR="0090551B">
        <w:t>a sustainable biodiversity management in Sri Lanka supported by a set of appropriate finance solutions</w:t>
      </w:r>
      <w:r w:rsidR="00A50BB3">
        <w:t>.</w:t>
      </w:r>
    </w:p>
    <w:p w14:paraId="3ACDFE63" w14:textId="77777777" w:rsidR="00880054" w:rsidRDefault="00880054" w:rsidP="00437B03">
      <w:pPr>
        <w:jc w:val="both"/>
      </w:pPr>
    </w:p>
    <w:p w14:paraId="4D3E7CB5" w14:textId="77777777" w:rsidR="000118CC" w:rsidRDefault="000118CC" w:rsidP="00437B03">
      <w:pPr>
        <w:jc w:val="both"/>
      </w:pPr>
    </w:p>
    <w:p w14:paraId="0BA4FF2C" w14:textId="35EC81DB" w:rsidR="00EF661F" w:rsidRPr="00880054" w:rsidRDefault="00EF661F" w:rsidP="008B7E9D">
      <w:pPr>
        <w:pStyle w:val="Heading3"/>
      </w:pPr>
      <w:bookmarkStart w:id="10" w:name="_Toc526876301"/>
      <w:r w:rsidRPr="00880054">
        <w:t>Vision</w:t>
      </w:r>
      <w:r w:rsidR="009117B3">
        <w:t xml:space="preserve"> for biodiversity financing and the</w:t>
      </w:r>
      <w:r w:rsidRPr="00880054">
        <w:t xml:space="preserve"> national agenda</w:t>
      </w:r>
      <w:bookmarkEnd w:id="10"/>
    </w:p>
    <w:p w14:paraId="1FC5C598" w14:textId="2D667251" w:rsidR="005C6CE3" w:rsidRDefault="008206C8" w:rsidP="00843344">
      <w:pPr>
        <w:jc w:val="both"/>
      </w:pPr>
      <w:r>
        <w:t>The emphasis on “green outlook” is an outstanding feature of the Sri Lankan policy making and development agenda.</w:t>
      </w:r>
      <w:r w:rsidR="00FF4452">
        <w:t xml:space="preserve"> The most </w:t>
      </w:r>
      <w:proofErr w:type="gramStart"/>
      <w:r w:rsidR="009117B3">
        <w:t xml:space="preserve">recent </w:t>
      </w:r>
      <w:r w:rsidR="00FF4452">
        <w:t xml:space="preserve"> attempts</w:t>
      </w:r>
      <w:proofErr w:type="gramEnd"/>
      <w:r w:rsidR="00FF4452">
        <w:t xml:space="preserve"> could be observed in the country’s </w:t>
      </w:r>
      <w:r w:rsidR="00725536">
        <w:rPr>
          <w:i/>
        </w:rPr>
        <w:t xml:space="preserve">Public Investment </w:t>
      </w:r>
      <w:proofErr w:type="spellStart"/>
      <w:r w:rsidR="00725536">
        <w:rPr>
          <w:i/>
        </w:rPr>
        <w:t>Programme</w:t>
      </w:r>
      <w:proofErr w:type="spellEnd"/>
      <w:r w:rsidR="000425CD" w:rsidRPr="00725536">
        <w:rPr>
          <w:i/>
        </w:rPr>
        <w:t xml:space="preserve"> 2017-2020</w:t>
      </w:r>
      <w:r w:rsidR="002B6747">
        <w:t xml:space="preserve"> of the Ministry of National P</w:t>
      </w:r>
      <w:r w:rsidR="000425CD">
        <w:t>olicies and Economic Affairs (2017)</w:t>
      </w:r>
      <w:r w:rsidR="00725536">
        <w:t xml:space="preserve"> and the </w:t>
      </w:r>
      <w:r w:rsidR="00725536" w:rsidRPr="00725536">
        <w:rPr>
          <w:i/>
        </w:rPr>
        <w:t>Budget Speech 2018</w:t>
      </w:r>
      <w:r w:rsidR="00725536">
        <w:t xml:space="preserve"> by the Minister of Finance (November 2017). </w:t>
      </w:r>
    </w:p>
    <w:p w14:paraId="0DB81DBD" w14:textId="0588F8A7" w:rsidR="00603CC9" w:rsidRDefault="00603CC9" w:rsidP="00843344">
      <w:pPr>
        <w:jc w:val="both"/>
      </w:pPr>
      <w:r>
        <w:t xml:space="preserve">Public Investment </w:t>
      </w:r>
      <w:proofErr w:type="spellStart"/>
      <w:r>
        <w:t>Programme</w:t>
      </w:r>
      <w:proofErr w:type="spellEnd"/>
      <w:r>
        <w:t xml:space="preserve"> </w:t>
      </w:r>
      <w:r w:rsidR="005B52B7">
        <w:t xml:space="preserve">2017-2020 emphasizes the importance of environmental management in the national development strategy: </w:t>
      </w:r>
      <w:r w:rsidR="005B52B7" w:rsidRPr="000118CC">
        <w:rPr>
          <w:i/>
        </w:rPr>
        <w:t>“…</w:t>
      </w:r>
      <w:r w:rsidRPr="000118CC">
        <w:rPr>
          <w:i/>
        </w:rPr>
        <w:t>the environmental management is of paramount importance in achieving sustainable development. Hence, in development planning it is necessary to pay due attention to conserving biodiversity and ecosystems which is essential to maintain the ecological balance.</w:t>
      </w:r>
      <w:r w:rsidR="005B52B7" w:rsidRPr="000118CC">
        <w:rPr>
          <w:i/>
        </w:rPr>
        <w:t>”</w:t>
      </w:r>
      <w:r w:rsidR="005B52B7">
        <w:t xml:space="preserve"> (</w:t>
      </w:r>
      <w:r w:rsidR="005B52B7" w:rsidRPr="000118CC">
        <w:rPr>
          <w:b/>
        </w:rPr>
        <w:t xml:space="preserve">Public Investment </w:t>
      </w:r>
      <w:proofErr w:type="spellStart"/>
      <w:r w:rsidR="005B52B7" w:rsidRPr="000118CC">
        <w:rPr>
          <w:b/>
        </w:rPr>
        <w:t>Programme</w:t>
      </w:r>
      <w:proofErr w:type="spellEnd"/>
      <w:r w:rsidR="005B52B7" w:rsidRPr="000118CC">
        <w:rPr>
          <w:b/>
        </w:rPr>
        <w:t xml:space="preserve"> 2017-2020</w:t>
      </w:r>
      <w:r w:rsidR="005B52B7">
        <w:t>, p. 114)</w:t>
      </w:r>
    </w:p>
    <w:p w14:paraId="53DE0157" w14:textId="72B7D9C9" w:rsidR="008B2591" w:rsidRDefault="005C6CE3" w:rsidP="00843344">
      <w:pPr>
        <w:jc w:val="both"/>
      </w:pPr>
      <w:r>
        <w:t xml:space="preserve">By introducing the concept of “Blue-Green Budget” as it was titled, the Minister of Finance elaborated the concept: </w:t>
      </w:r>
      <w:r w:rsidRPr="000118CC">
        <w:rPr>
          <w:i/>
        </w:rPr>
        <w:t>“</w:t>
      </w:r>
      <w:r w:rsidR="00843344" w:rsidRPr="000118CC">
        <w:rPr>
          <w:i/>
        </w:rPr>
        <w:t>It is “Blue” because we plan to</w:t>
      </w:r>
      <w:r w:rsidRPr="000118CC">
        <w:rPr>
          <w:i/>
        </w:rPr>
        <w:t xml:space="preserve"> </w:t>
      </w:r>
      <w:r w:rsidR="00843344" w:rsidRPr="000118CC">
        <w:rPr>
          <w:i/>
        </w:rPr>
        <w:t>integrate the full economic potential of ocean related activities in formulating the overall growth strategy. It is “Green” because we build our economy on an environmentally sustainable development strategy.</w:t>
      </w:r>
      <w:r w:rsidRPr="000118CC">
        <w:rPr>
          <w:i/>
        </w:rPr>
        <w:t>”</w:t>
      </w:r>
      <w:r w:rsidR="00603CC9">
        <w:t xml:space="preserve"> (</w:t>
      </w:r>
      <w:r w:rsidR="00603CC9" w:rsidRPr="000118CC">
        <w:rPr>
          <w:b/>
        </w:rPr>
        <w:t>Budget Speech 2018</w:t>
      </w:r>
      <w:r w:rsidR="00603CC9">
        <w:t>: pp.4-5).</w:t>
      </w:r>
    </w:p>
    <w:p w14:paraId="06E655F4" w14:textId="78FBC0F9" w:rsidR="00A50BB3" w:rsidRDefault="001C3B66" w:rsidP="00437B03">
      <w:pPr>
        <w:jc w:val="both"/>
      </w:pPr>
      <w:r>
        <w:t xml:space="preserve">Given this national policy guideline together with the country’s international commitments on biodiversity, sectoral policy documents </w:t>
      </w:r>
      <w:r w:rsidR="00443681">
        <w:t>also</w:t>
      </w:r>
      <w:r>
        <w:t xml:space="preserve"> incorporate environment and biodiversity as essential components of their strategies. </w:t>
      </w:r>
      <w:r w:rsidR="00CB0337">
        <w:t xml:space="preserve"> </w:t>
      </w:r>
    </w:p>
    <w:p w14:paraId="4D7C21F8" w14:textId="587B0748" w:rsidR="001C3B66" w:rsidRDefault="00443681" w:rsidP="00437B03">
      <w:pPr>
        <w:jc w:val="both"/>
      </w:pPr>
      <w:r>
        <w:t xml:space="preserve">Some </w:t>
      </w:r>
      <w:r w:rsidR="001C3B66">
        <w:t xml:space="preserve">of the major challenges identified </w:t>
      </w:r>
      <w:r w:rsidR="008C7D3C">
        <w:t xml:space="preserve">by the NBSAP 2016-2022 is, however, the lack of capacity to translate policies, plans and strategies into implementable actions, </w:t>
      </w:r>
      <w:r>
        <w:t xml:space="preserve">and </w:t>
      </w:r>
      <w:r w:rsidR="008C7D3C">
        <w:t xml:space="preserve">the </w:t>
      </w:r>
      <w:r>
        <w:t xml:space="preserve">lack of financing. </w:t>
      </w:r>
      <w:r w:rsidR="009E284B">
        <w:t xml:space="preserve">The vision of the BFP is directly linked to this </w:t>
      </w:r>
      <w:r w:rsidR="00FE7AAC">
        <w:t>capacity issue</w:t>
      </w:r>
      <w:r w:rsidR="009E284B">
        <w:t xml:space="preserve"> </w:t>
      </w:r>
      <w:r w:rsidR="00FE7AAC">
        <w:t>with a view of</w:t>
      </w:r>
      <w:r w:rsidR="009E284B">
        <w:t xml:space="preserve"> </w:t>
      </w:r>
      <w:r w:rsidR="00FE7AAC">
        <w:t>setting financing mechanisms and solutions.</w:t>
      </w:r>
    </w:p>
    <w:p w14:paraId="03897806" w14:textId="77777777" w:rsidR="00913804" w:rsidRDefault="00913804" w:rsidP="005D6C59">
      <w:pPr>
        <w:jc w:val="both"/>
      </w:pPr>
    </w:p>
    <w:tbl>
      <w:tblPr>
        <w:tblW w:w="8039" w:type="dxa"/>
        <w:jc w:val="center"/>
        <w:tblBorders>
          <w:top w:val="single" w:sz="4" w:space="0" w:color="auto"/>
          <w:insideH w:val="single" w:sz="4" w:space="0" w:color="auto"/>
        </w:tblBorders>
        <w:tblLook w:val="04A0" w:firstRow="1" w:lastRow="0" w:firstColumn="1" w:lastColumn="0" w:noHBand="0" w:noVBand="1"/>
      </w:tblPr>
      <w:tblGrid>
        <w:gridCol w:w="5239"/>
        <w:gridCol w:w="1445"/>
        <w:gridCol w:w="1355"/>
      </w:tblGrid>
      <w:tr w:rsidR="00C55462" w:rsidRPr="0039121C" w14:paraId="41FA58B1" w14:textId="77777777" w:rsidTr="00EE5D9C">
        <w:trPr>
          <w:trHeight w:val="396"/>
          <w:jc w:val="center"/>
        </w:trPr>
        <w:tc>
          <w:tcPr>
            <w:tcW w:w="8039" w:type="dxa"/>
            <w:gridSpan w:val="3"/>
            <w:tcBorders>
              <w:top w:val="nil"/>
              <w:bottom w:val="single" w:sz="4" w:space="0" w:color="auto"/>
            </w:tcBorders>
            <w:shd w:val="clear" w:color="auto" w:fill="FFFFFF" w:themeFill="background1"/>
            <w:noWrap/>
            <w:vAlign w:val="center"/>
          </w:tcPr>
          <w:p w14:paraId="4BCE3CAB" w14:textId="43E5C55A" w:rsidR="00C55462" w:rsidRPr="0039121C" w:rsidRDefault="00C55462" w:rsidP="00967C09">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Table 1: </w:t>
            </w:r>
            <w:r w:rsidR="00C774E6">
              <w:t>Biodiversity Finance Needs within national environmental plans</w:t>
            </w:r>
            <w:r w:rsidR="00C774E6">
              <w:rPr>
                <w:rFonts w:ascii="Arial" w:eastAsia="Times New Roman" w:hAnsi="Arial" w:cs="Arial"/>
                <w:sz w:val="20"/>
                <w:szCs w:val="20"/>
              </w:rPr>
              <w:t xml:space="preserve"> </w:t>
            </w:r>
            <w:r w:rsidR="001E27D5">
              <w:rPr>
                <w:rFonts w:ascii="Arial" w:eastAsia="Times New Roman" w:hAnsi="Arial" w:cs="Arial"/>
                <w:sz w:val="20"/>
                <w:szCs w:val="20"/>
              </w:rPr>
              <w:t>2018-2024</w:t>
            </w:r>
          </w:p>
        </w:tc>
      </w:tr>
      <w:tr w:rsidR="0039121C" w:rsidRPr="0039121C" w14:paraId="7480B85B" w14:textId="77777777" w:rsidTr="00AE4DFC">
        <w:trPr>
          <w:trHeight w:val="396"/>
          <w:jc w:val="center"/>
        </w:trPr>
        <w:tc>
          <w:tcPr>
            <w:tcW w:w="5239" w:type="dxa"/>
            <w:tcBorders>
              <w:top w:val="single" w:sz="4" w:space="0" w:color="auto"/>
            </w:tcBorders>
            <w:shd w:val="clear" w:color="auto" w:fill="auto"/>
            <w:noWrap/>
            <w:vAlign w:val="center"/>
            <w:hideMark/>
          </w:tcPr>
          <w:p w14:paraId="3C295FB5" w14:textId="77777777" w:rsidR="0039121C" w:rsidRPr="0039121C" w:rsidRDefault="00210C29" w:rsidP="0039121C">
            <w:pPr>
              <w:spacing w:after="0" w:line="240" w:lineRule="auto"/>
              <w:rPr>
                <w:rFonts w:ascii="Arial" w:eastAsia="Times New Roman" w:hAnsi="Arial" w:cs="Arial"/>
                <w:sz w:val="20"/>
                <w:szCs w:val="20"/>
              </w:rPr>
            </w:pPr>
            <w:r>
              <w:rPr>
                <w:rFonts w:ascii="Arial" w:eastAsia="Times New Roman" w:hAnsi="Arial" w:cs="Arial"/>
                <w:sz w:val="20"/>
                <w:szCs w:val="20"/>
              </w:rPr>
              <w:t>National Biodiversity Plans</w:t>
            </w:r>
          </w:p>
        </w:tc>
        <w:tc>
          <w:tcPr>
            <w:tcW w:w="1445" w:type="dxa"/>
            <w:tcBorders>
              <w:top w:val="single" w:sz="4" w:space="0" w:color="auto"/>
            </w:tcBorders>
            <w:shd w:val="clear" w:color="auto" w:fill="auto"/>
            <w:noWrap/>
            <w:vAlign w:val="center"/>
            <w:hideMark/>
          </w:tcPr>
          <w:p w14:paraId="1A4981B1" w14:textId="77777777" w:rsidR="00283CC3" w:rsidRDefault="00210C29" w:rsidP="0039121C">
            <w:pPr>
              <w:spacing w:after="0" w:line="240" w:lineRule="auto"/>
              <w:jc w:val="right"/>
              <w:rPr>
                <w:rFonts w:ascii="Arial" w:eastAsia="Times New Roman" w:hAnsi="Arial" w:cs="Arial"/>
                <w:sz w:val="20"/>
                <w:szCs w:val="20"/>
              </w:rPr>
            </w:pPr>
            <w:r>
              <w:rPr>
                <w:rFonts w:ascii="Arial" w:eastAsia="Times New Roman" w:hAnsi="Arial" w:cs="Arial"/>
                <w:sz w:val="20"/>
                <w:szCs w:val="20"/>
              </w:rPr>
              <w:t>Cost</w:t>
            </w:r>
            <w:r w:rsidR="0039121C" w:rsidRPr="0039121C">
              <w:rPr>
                <w:rFonts w:ascii="Arial" w:eastAsia="Times New Roman" w:hAnsi="Arial" w:cs="Arial"/>
                <w:sz w:val="20"/>
                <w:szCs w:val="20"/>
              </w:rPr>
              <w:t xml:space="preserve"> </w:t>
            </w:r>
          </w:p>
          <w:p w14:paraId="11011C1A" w14:textId="77777777" w:rsidR="0039121C" w:rsidRPr="0039121C" w:rsidRDefault="00717EE3" w:rsidP="0039121C">
            <w:pPr>
              <w:spacing w:after="0" w:line="240" w:lineRule="auto"/>
              <w:jc w:val="right"/>
              <w:rPr>
                <w:rFonts w:ascii="Arial" w:eastAsia="Times New Roman" w:hAnsi="Arial" w:cs="Arial"/>
                <w:sz w:val="20"/>
                <w:szCs w:val="20"/>
              </w:rPr>
            </w:pPr>
            <w:r>
              <w:rPr>
                <w:rFonts w:ascii="Arial" w:eastAsia="Times New Roman" w:hAnsi="Arial" w:cs="Arial"/>
                <w:sz w:val="20"/>
                <w:szCs w:val="20"/>
              </w:rPr>
              <w:t>(LKR</w:t>
            </w:r>
            <w:r w:rsidR="00283CC3">
              <w:rPr>
                <w:rFonts w:ascii="Arial" w:eastAsia="Times New Roman" w:hAnsi="Arial" w:cs="Arial"/>
                <w:sz w:val="20"/>
                <w:szCs w:val="20"/>
              </w:rPr>
              <w:t xml:space="preserve"> m</w:t>
            </w:r>
            <w:r w:rsidR="0039121C" w:rsidRPr="0039121C">
              <w:rPr>
                <w:rFonts w:ascii="Arial" w:eastAsia="Times New Roman" w:hAnsi="Arial" w:cs="Arial"/>
                <w:sz w:val="20"/>
                <w:szCs w:val="20"/>
              </w:rPr>
              <w:t>illion)</w:t>
            </w:r>
          </w:p>
        </w:tc>
        <w:tc>
          <w:tcPr>
            <w:tcW w:w="1355" w:type="dxa"/>
            <w:tcBorders>
              <w:top w:val="single" w:sz="4" w:space="0" w:color="auto"/>
            </w:tcBorders>
            <w:shd w:val="clear" w:color="auto" w:fill="auto"/>
            <w:noWrap/>
            <w:vAlign w:val="center"/>
            <w:hideMark/>
          </w:tcPr>
          <w:p w14:paraId="729FB8C8" w14:textId="77777777" w:rsidR="0039121C" w:rsidRPr="0039121C" w:rsidRDefault="00210C29" w:rsidP="0039121C">
            <w:pPr>
              <w:spacing w:after="0" w:line="240" w:lineRule="auto"/>
              <w:jc w:val="right"/>
              <w:rPr>
                <w:rFonts w:ascii="Arial" w:eastAsia="Times New Roman" w:hAnsi="Arial" w:cs="Arial"/>
                <w:sz w:val="20"/>
                <w:szCs w:val="20"/>
              </w:rPr>
            </w:pPr>
            <w:r>
              <w:rPr>
                <w:rFonts w:ascii="Arial" w:eastAsia="Times New Roman" w:hAnsi="Arial" w:cs="Arial"/>
                <w:sz w:val="20"/>
                <w:szCs w:val="20"/>
              </w:rPr>
              <w:t>Cost share</w:t>
            </w:r>
            <w:r w:rsidR="0039121C" w:rsidRPr="0039121C">
              <w:rPr>
                <w:rFonts w:ascii="Arial" w:eastAsia="Times New Roman" w:hAnsi="Arial" w:cs="Arial"/>
                <w:sz w:val="20"/>
                <w:szCs w:val="20"/>
              </w:rPr>
              <w:t xml:space="preserve"> (%)</w:t>
            </w:r>
          </w:p>
        </w:tc>
      </w:tr>
      <w:tr w:rsidR="0039121C" w:rsidRPr="0039121C" w14:paraId="2C33BA8D" w14:textId="77777777" w:rsidTr="00EE5D9C">
        <w:trPr>
          <w:trHeight w:val="737"/>
          <w:jc w:val="center"/>
        </w:trPr>
        <w:tc>
          <w:tcPr>
            <w:tcW w:w="5239" w:type="dxa"/>
            <w:shd w:val="clear" w:color="auto" w:fill="auto"/>
            <w:noWrap/>
            <w:vAlign w:val="center"/>
            <w:hideMark/>
          </w:tcPr>
          <w:p w14:paraId="092D63E3" w14:textId="77777777" w:rsidR="0039121C" w:rsidRPr="0039121C" w:rsidRDefault="0039121C" w:rsidP="0039121C">
            <w:pPr>
              <w:spacing w:after="0" w:line="240" w:lineRule="auto"/>
              <w:rPr>
                <w:rFonts w:ascii="Arial" w:eastAsia="Symbol" w:hAnsi="Arial" w:cs="Arial"/>
                <w:color w:val="000000"/>
                <w:sz w:val="20"/>
                <w:szCs w:val="20"/>
              </w:rPr>
            </w:pPr>
            <w:r w:rsidRPr="0039121C">
              <w:rPr>
                <w:rFonts w:ascii="Arial" w:eastAsia="Symbol" w:hAnsi="Arial" w:cs="Arial"/>
                <w:color w:val="000000"/>
                <w:sz w:val="20"/>
                <w:szCs w:val="20"/>
              </w:rPr>
              <w:t xml:space="preserve">NBSAP </w:t>
            </w:r>
            <w:r w:rsidR="00C91AD4">
              <w:rPr>
                <w:rFonts w:ascii="Arial" w:eastAsia="Symbol" w:hAnsi="Arial" w:cs="Arial"/>
                <w:color w:val="000000"/>
                <w:sz w:val="20"/>
                <w:szCs w:val="20"/>
              </w:rPr>
              <w:t>(2016 -</w:t>
            </w:r>
            <w:r w:rsidRPr="0039121C">
              <w:rPr>
                <w:rFonts w:ascii="Arial" w:eastAsia="Symbol" w:hAnsi="Arial" w:cs="Arial"/>
                <w:color w:val="000000"/>
                <w:sz w:val="20"/>
                <w:szCs w:val="20"/>
              </w:rPr>
              <w:t xml:space="preserve"> 2022</w:t>
            </w:r>
            <w:r w:rsidR="001E27D5">
              <w:rPr>
                <w:rFonts w:ascii="Arial" w:eastAsia="Symbol" w:hAnsi="Arial" w:cs="Arial"/>
                <w:color w:val="000000"/>
                <w:sz w:val="20"/>
                <w:szCs w:val="20"/>
              </w:rPr>
              <w:t>, redefined as 2018 - 2024</w:t>
            </w:r>
            <w:r w:rsidRPr="0039121C">
              <w:rPr>
                <w:rFonts w:ascii="Arial" w:eastAsia="Symbol" w:hAnsi="Arial" w:cs="Arial"/>
                <w:color w:val="000000"/>
                <w:sz w:val="20"/>
                <w:szCs w:val="20"/>
              </w:rPr>
              <w:t>)</w:t>
            </w:r>
          </w:p>
          <w:p w14:paraId="2D5DB370" w14:textId="77777777" w:rsidR="0039121C" w:rsidRPr="0039121C" w:rsidRDefault="0039121C" w:rsidP="0039121C">
            <w:pPr>
              <w:spacing w:after="0" w:line="240" w:lineRule="auto"/>
              <w:rPr>
                <w:rFonts w:ascii="Arial" w:eastAsia="Times New Roman" w:hAnsi="Arial" w:cs="Arial"/>
                <w:color w:val="000000"/>
                <w:sz w:val="20"/>
                <w:szCs w:val="20"/>
              </w:rPr>
            </w:pPr>
            <w:r w:rsidRPr="0039121C">
              <w:rPr>
                <w:rFonts w:ascii="Arial" w:eastAsia="Symbol" w:hAnsi="Arial" w:cs="Arial"/>
                <w:color w:val="000000"/>
                <w:sz w:val="20"/>
                <w:szCs w:val="20"/>
              </w:rPr>
              <w:t>National Biodiversity Strategic Action Plan</w:t>
            </w:r>
          </w:p>
        </w:tc>
        <w:tc>
          <w:tcPr>
            <w:tcW w:w="1445" w:type="dxa"/>
            <w:shd w:val="clear" w:color="auto" w:fill="auto"/>
            <w:noWrap/>
            <w:vAlign w:val="center"/>
            <w:hideMark/>
          </w:tcPr>
          <w:p w14:paraId="7EB99D76" w14:textId="77777777" w:rsidR="0039121C" w:rsidRPr="0039121C" w:rsidRDefault="0039121C" w:rsidP="0039121C">
            <w:pPr>
              <w:spacing w:after="0" w:line="240" w:lineRule="auto"/>
              <w:jc w:val="right"/>
              <w:rPr>
                <w:rFonts w:ascii="Arial" w:eastAsia="Times New Roman" w:hAnsi="Arial" w:cs="Arial"/>
                <w:color w:val="000000"/>
                <w:sz w:val="20"/>
                <w:szCs w:val="20"/>
              </w:rPr>
            </w:pPr>
            <w:r w:rsidRPr="0039121C">
              <w:rPr>
                <w:rFonts w:ascii="Arial" w:eastAsia="Calibri" w:hAnsi="Arial" w:cs="Arial"/>
                <w:color w:val="000000"/>
                <w:sz w:val="20"/>
                <w:szCs w:val="20"/>
              </w:rPr>
              <w:t>13437</w:t>
            </w:r>
          </w:p>
        </w:tc>
        <w:tc>
          <w:tcPr>
            <w:tcW w:w="1355" w:type="dxa"/>
            <w:shd w:val="clear" w:color="auto" w:fill="auto"/>
            <w:noWrap/>
            <w:vAlign w:val="center"/>
            <w:hideMark/>
          </w:tcPr>
          <w:p w14:paraId="31DAA68A" w14:textId="77777777" w:rsidR="0039121C" w:rsidRPr="0039121C" w:rsidRDefault="0039121C" w:rsidP="0039121C">
            <w:pPr>
              <w:spacing w:after="0" w:line="240" w:lineRule="auto"/>
              <w:jc w:val="right"/>
              <w:rPr>
                <w:rFonts w:ascii="Arial" w:eastAsia="Times New Roman" w:hAnsi="Arial" w:cs="Arial"/>
                <w:color w:val="000000"/>
                <w:sz w:val="20"/>
                <w:szCs w:val="20"/>
              </w:rPr>
            </w:pPr>
            <w:r w:rsidRPr="0039121C">
              <w:rPr>
                <w:rFonts w:ascii="Arial" w:eastAsia="Times New Roman" w:hAnsi="Arial" w:cs="Arial"/>
                <w:color w:val="000000"/>
                <w:sz w:val="20"/>
                <w:szCs w:val="20"/>
              </w:rPr>
              <w:t>43.7</w:t>
            </w:r>
          </w:p>
        </w:tc>
      </w:tr>
      <w:tr w:rsidR="0039121C" w:rsidRPr="0039121C" w14:paraId="008640C5" w14:textId="77777777" w:rsidTr="00EE5D9C">
        <w:trPr>
          <w:trHeight w:val="710"/>
          <w:jc w:val="center"/>
        </w:trPr>
        <w:tc>
          <w:tcPr>
            <w:tcW w:w="5239" w:type="dxa"/>
            <w:shd w:val="clear" w:color="auto" w:fill="auto"/>
            <w:noWrap/>
            <w:vAlign w:val="center"/>
            <w:hideMark/>
          </w:tcPr>
          <w:p w14:paraId="57887276" w14:textId="77777777" w:rsidR="0039121C" w:rsidRPr="0039121C" w:rsidRDefault="0039121C" w:rsidP="0039121C">
            <w:pPr>
              <w:spacing w:after="0" w:line="240" w:lineRule="auto"/>
              <w:rPr>
                <w:rFonts w:ascii="Arial" w:eastAsia="Symbol" w:hAnsi="Arial" w:cs="Arial"/>
                <w:color w:val="000000"/>
                <w:sz w:val="20"/>
                <w:szCs w:val="20"/>
              </w:rPr>
            </w:pPr>
            <w:r w:rsidRPr="0039121C">
              <w:rPr>
                <w:rFonts w:ascii="Arial" w:eastAsia="Symbol" w:hAnsi="Arial" w:cs="Arial"/>
                <w:color w:val="000000"/>
                <w:sz w:val="20"/>
                <w:szCs w:val="20"/>
              </w:rPr>
              <w:t>NRIFAP (2018 - 2022)</w:t>
            </w:r>
          </w:p>
          <w:p w14:paraId="289BFE66" w14:textId="77777777" w:rsidR="0039121C" w:rsidRPr="0039121C" w:rsidRDefault="0039121C" w:rsidP="0039121C">
            <w:pPr>
              <w:spacing w:after="0" w:line="240" w:lineRule="auto"/>
              <w:rPr>
                <w:rFonts w:ascii="Arial" w:eastAsia="Times New Roman" w:hAnsi="Arial" w:cs="Arial"/>
                <w:color w:val="000000"/>
                <w:sz w:val="20"/>
                <w:szCs w:val="20"/>
              </w:rPr>
            </w:pPr>
            <w:r w:rsidRPr="0039121C">
              <w:rPr>
                <w:rFonts w:ascii="Arial" w:eastAsia="Symbol" w:hAnsi="Arial" w:cs="Arial"/>
                <w:color w:val="000000"/>
                <w:sz w:val="20"/>
                <w:szCs w:val="20"/>
              </w:rPr>
              <w:t xml:space="preserve">National REDD+ Investment Framework and Action Plan </w:t>
            </w:r>
          </w:p>
        </w:tc>
        <w:tc>
          <w:tcPr>
            <w:tcW w:w="1445" w:type="dxa"/>
            <w:shd w:val="clear" w:color="auto" w:fill="auto"/>
            <w:noWrap/>
            <w:vAlign w:val="center"/>
            <w:hideMark/>
          </w:tcPr>
          <w:p w14:paraId="037B4741" w14:textId="77777777" w:rsidR="0039121C" w:rsidRPr="0039121C" w:rsidRDefault="0039121C" w:rsidP="0039121C">
            <w:pPr>
              <w:spacing w:after="0" w:line="240" w:lineRule="auto"/>
              <w:jc w:val="right"/>
              <w:rPr>
                <w:rFonts w:ascii="Arial" w:eastAsia="Times New Roman" w:hAnsi="Arial" w:cs="Arial"/>
                <w:color w:val="000000"/>
                <w:sz w:val="20"/>
                <w:szCs w:val="20"/>
              </w:rPr>
            </w:pPr>
            <w:r w:rsidRPr="0039121C">
              <w:rPr>
                <w:rFonts w:ascii="Arial" w:eastAsia="Calibri" w:hAnsi="Arial" w:cs="Arial"/>
                <w:color w:val="000000"/>
                <w:sz w:val="20"/>
                <w:szCs w:val="20"/>
              </w:rPr>
              <w:t>14884</w:t>
            </w:r>
          </w:p>
        </w:tc>
        <w:tc>
          <w:tcPr>
            <w:tcW w:w="1355" w:type="dxa"/>
            <w:shd w:val="clear" w:color="auto" w:fill="auto"/>
            <w:noWrap/>
            <w:vAlign w:val="center"/>
            <w:hideMark/>
          </w:tcPr>
          <w:p w14:paraId="2B6944EF" w14:textId="77777777" w:rsidR="0039121C" w:rsidRPr="0039121C" w:rsidRDefault="0039121C" w:rsidP="0039121C">
            <w:pPr>
              <w:spacing w:after="0" w:line="240" w:lineRule="auto"/>
              <w:jc w:val="right"/>
              <w:rPr>
                <w:rFonts w:ascii="Arial" w:eastAsia="Times New Roman" w:hAnsi="Arial" w:cs="Arial"/>
                <w:color w:val="000000"/>
                <w:sz w:val="20"/>
                <w:szCs w:val="20"/>
              </w:rPr>
            </w:pPr>
            <w:r w:rsidRPr="0039121C">
              <w:rPr>
                <w:rFonts w:ascii="Arial" w:eastAsia="Times New Roman" w:hAnsi="Arial" w:cs="Arial"/>
                <w:color w:val="000000"/>
                <w:sz w:val="20"/>
                <w:szCs w:val="20"/>
              </w:rPr>
              <w:t>48.5</w:t>
            </w:r>
          </w:p>
        </w:tc>
      </w:tr>
      <w:tr w:rsidR="0039121C" w:rsidRPr="0039121C" w14:paraId="198571FE" w14:textId="77777777" w:rsidTr="00EE5D9C">
        <w:trPr>
          <w:trHeight w:val="800"/>
          <w:jc w:val="center"/>
        </w:trPr>
        <w:tc>
          <w:tcPr>
            <w:tcW w:w="5239" w:type="dxa"/>
            <w:shd w:val="clear" w:color="auto" w:fill="auto"/>
            <w:noWrap/>
            <w:vAlign w:val="center"/>
            <w:hideMark/>
          </w:tcPr>
          <w:p w14:paraId="396F8508" w14:textId="77777777" w:rsidR="0039121C" w:rsidRPr="0039121C" w:rsidRDefault="0039121C" w:rsidP="0039121C">
            <w:pPr>
              <w:spacing w:after="0" w:line="240" w:lineRule="auto"/>
              <w:rPr>
                <w:rFonts w:ascii="Arial" w:eastAsia="Symbol" w:hAnsi="Arial" w:cs="Arial"/>
                <w:color w:val="000000"/>
                <w:sz w:val="20"/>
                <w:szCs w:val="20"/>
              </w:rPr>
            </w:pPr>
            <w:r w:rsidRPr="0039121C">
              <w:rPr>
                <w:rFonts w:ascii="Arial" w:eastAsia="Symbol" w:hAnsi="Arial" w:cs="Arial"/>
                <w:color w:val="000000"/>
                <w:sz w:val="20"/>
                <w:szCs w:val="20"/>
              </w:rPr>
              <w:t xml:space="preserve">NAP-CLD </w:t>
            </w:r>
            <w:r w:rsidR="00614B89">
              <w:rPr>
                <w:rFonts w:ascii="Arial" w:eastAsia="Symbol" w:hAnsi="Arial" w:cs="Arial"/>
                <w:color w:val="000000"/>
                <w:sz w:val="20"/>
                <w:szCs w:val="20"/>
              </w:rPr>
              <w:t>(2015</w:t>
            </w:r>
            <w:r w:rsidRPr="0039121C">
              <w:rPr>
                <w:rFonts w:ascii="Arial" w:eastAsia="Symbol" w:hAnsi="Arial" w:cs="Arial"/>
                <w:color w:val="000000"/>
                <w:sz w:val="20"/>
                <w:szCs w:val="20"/>
              </w:rPr>
              <w:t xml:space="preserve"> - 2024)</w:t>
            </w:r>
          </w:p>
          <w:p w14:paraId="064F57FB" w14:textId="77777777" w:rsidR="0039121C" w:rsidRPr="0039121C" w:rsidRDefault="0039121C" w:rsidP="00856027">
            <w:pPr>
              <w:spacing w:after="0" w:line="240" w:lineRule="auto"/>
              <w:rPr>
                <w:rFonts w:ascii="Arial" w:eastAsia="Times New Roman" w:hAnsi="Arial" w:cs="Arial"/>
                <w:color w:val="000000"/>
                <w:sz w:val="20"/>
                <w:szCs w:val="20"/>
              </w:rPr>
            </w:pPr>
            <w:r w:rsidRPr="0039121C">
              <w:rPr>
                <w:rFonts w:ascii="Arial" w:eastAsia="Symbol" w:hAnsi="Arial" w:cs="Arial"/>
                <w:color w:val="000000"/>
                <w:sz w:val="20"/>
                <w:szCs w:val="20"/>
              </w:rPr>
              <w:t xml:space="preserve">National </w:t>
            </w:r>
            <w:r w:rsidR="00856027">
              <w:rPr>
                <w:rFonts w:ascii="Arial" w:eastAsia="Symbol" w:hAnsi="Arial" w:cs="Arial"/>
                <w:color w:val="000000"/>
                <w:sz w:val="20"/>
                <w:szCs w:val="20"/>
              </w:rPr>
              <w:t>Action Program for</w:t>
            </w:r>
            <w:r w:rsidRPr="0039121C">
              <w:rPr>
                <w:rFonts w:ascii="Arial" w:eastAsia="Symbol" w:hAnsi="Arial" w:cs="Arial"/>
                <w:color w:val="000000"/>
                <w:sz w:val="20"/>
                <w:szCs w:val="20"/>
              </w:rPr>
              <w:t xml:space="preserve"> Combat</w:t>
            </w:r>
            <w:r w:rsidR="00856027">
              <w:rPr>
                <w:rFonts w:ascii="Arial" w:eastAsia="Symbol" w:hAnsi="Arial" w:cs="Arial"/>
                <w:color w:val="000000"/>
                <w:sz w:val="20"/>
                <w:szCs w:val="20"/>
              </w:rPr>
              <w:t>ing</w:t>
            </w:r>
            <w:r w:rsidRPr="0039121C">
              <w:rPr>
                <w:rFonts w:ascii="Arial" w:eastAsia="Symbol" w:hAnsi="Arial" w:cs="Arial"/>
                <w:color w:val="000000"/>
                <w:sz w:val="20"/>
                <w:szCs w:val="20"/>
              </w:rPr>
              <w:t xml:space="preserve"> Land </w:t>
            </w:r>
            <w:r w:rsidR="00856027" w:rsidRPr="0039121C">
              <w:rPr>
                <w:rFonts w:ascii="Arial" w:eastAsia="Symbol" w:hAnsi="Arial" w:cs="Arial"/>
                <w:color w:val="000000"/>
                <w:sz w:val="20"/>
                <w:szCs w:val="20"/>
              </w:rPr>
              <w:t>De</w:t>
            </w:r>
            <w:r w:rsidR="00856027">
              <w:rPr>
                <w:rFonts w:ascii="Arial" w:eastAsia="Symbol" w:hAnsi="Arial" w:cs="Arial"/>
                <w:color w:val="000000"/>
                <w:sz w:val="20"/>
                <w:szCs w:val="20"/>
              </w:rPr>
              <w:t>grada</w:t>
            </w:r>
            <w:r w:rsidR="00856027" w:rsidRPr="0039121C">
              <w:rPr>
                <w:rFonts w:ascii="Arial" w:eastAsia="Symbol" w:hAnsi="Arial" w:cs="Arial"/>
                <w:color w:val="000000"/>
                <w:sz w:val="20"/>
                <w:szCs w:val="20"/>
              </w:rPr>
              <w:t>tion</w:t>
            </w:r>
            <w:r w:rsidRPr="0039121C">
              <w:rPr>
                <w:rFonts w:ascii="Arial" w:eastAsia="Symbol" w:hAnsi="Arial" w:cs="Arial"/>
                <w:color w:val="000000"/>
                <w:sz w:val="20"/>
                <w:szCs w:val="20"/>
              </w:rPr>
              <w:t xml:space="preserve"> </w:t>
            </w:r>
            <w:r w:rsidR="00EE5D9C">
              <w:rPr>
                <w:rFonts w:ascii="Arial" w:eastAsia="Symbol" w:hAnsi="Arial" w:cs="Arial"/>
                <w:color w:val="000000"/>
                <w:sz w:val="20"/>
                <w:szCs w:val="20"/>
              </w:rPr>
              <w:t>in Sri Lanka</w:t>
            </w:r>
          </w:p>
        </w:tc>
        <w:tc>
          <w:tcPr>
            <w:tcW w:w="1445" w:type="dxa"/>
            <w:shd w:val="clear" w:color="auto" w:fill="auto"/>
            <w:noWrap/>
            <w:vAlign w:val="center"/>
            <w:hideMark/>
          </w:tcPr>
          <w:p w14:paraId="2CEEEF7B" w14:textId="77777777" w:rsidR="0039121C" w:rsidRPr="0039121C" w:rsidRDefault="0039121C" w:rsidP="0039121C">
            <w:pPr>
              <w:spacing w:after="0" w:line="240" w:lineRule="auto"/>
              <w:jc w:val="right"/>
              <w:rPr>
                <w:rFonts w:ascii="Arial" w:eastAsia="Times New Roman" w:hAnsi="Arial" w:cs="Arial"/>
                <w:color w:val="000000"/>
                <w:sz w:val="20"/>
                <w:szCs w:val="20"/>
              </w:rPr>
            </w:pPr>
            <w:r w:rsidRPr="0039121C">
              <w:rPr>
                <w:rFonts w:ascii="Arial" w:eastAsia="Calibri" w:hAnsi="Arial" w:cs="Arial"/>
                <w:color w:val="000000"/>
                <w:sz w:val="20"/>
                <w:szCs w:val="20"/>
              </w:rPr>
              <w:t>1891</w:t>
            </w:r>
          </w:p>
        </w:tc>
        <w:tc>
          <w:tcPr>
            <w:tcW w:w="1355" w:type="dxa"/>
            <w:shd w:val="clear" w:color="auto" w:fill="auto"/>
            <w:noWrap/>
            <w:vAlign w:val="center"/>
            <w:hideMark/>
          </w:tcPr>
          <w:p w14:paraId="65661D78" w14:textId="77777777" w:rsidR="0039121C" w:rsidRPr="0039121C" w:rsidRDefault="0039121C" w:rsidP="0039121C">
            <w:pPr>
              <w:spacing w:after="0" w:line="240" w:lineRule="auto"/>
              <w:jc w:val="right"/>
              <w:rPr>
                <w:rFonts w:ascii="Arial" w:eastAsia="Times New Roman" w:hAnsi="Arial" w:cs="Arial"/>
                <w:color w:val="000000"/>
                <w:sz w:val="20"/>
                <w:szCs w:val="20"/>
              </w:rPr>
            </w:pPr>
            <w:r w:rsidRPr="0039121C">
              <w:rPr>
                <w:rFonts w:ascii="Arial" w:eastAsia="Times New Roman" w:hAnsi="Arial" w:cs="Arial"/>
                <w:color w:val="000000"/>
                <w:sz w:val="20"/>
                <w:szCs w:val="20"/>
              </w:rPr>
              <w:t>6.2</w:t>
            </w:r>
          </w:p>
        </w:tc>
      </w:tr>
      <w:tr w:rsidR="0039121C" w:rsidRPr="0039121C" w14:paraId="1DE21C5A" w14:textId="77777777" w:rsidTr="00EE5D9C">
        <w:trPr>
          <w:trHeight w:val="800"/>
          <w:jc w:val="center"/>
        </w:trPr>
        <w:tc>
          <w:tcPr>
            <w:tcW w:w="5239" w:type="dxa"/>
            <w:tcBorders>
              <w:bottom w:val="single" w:sz="4" w:space="0" w:color="auto"/>
            </w:tcBorders>
            <w:shd w:val="clear" w:color="auto" w:fill="auto"/>
            <w:noWrap/>
            <w:vAlign w:val="center"/>
            <w:hideMark/>
          </w:tcPr>
          <w:p w14:paraId="2F72D83E" w14:textId="77777777" w:rsidR="0039121C" w:rsidRPr="0039121C" w:rsidRDefault="0039121C" w:rsidP="0039121C">
            <w:pPr>
              <w:spacing w:after="0" w:line="240" w:lineRule="auto"/>
              <w:rPr>
                <w:rFonts w:ascii="Arial" w:eastAsia="Symbol" w:hAnsi="Arial" w:cs="Arial"/>
                <w:color w:val="000000"/>
                <w:sz w:val="20"/>
                <w:szCs w:val="20"/>
              </w:rPr>
            </w:pPr>
            <w:r w:rsidRPr="0039121C">
              <w:rPr>
                <w:rFonts w:ascii="Arial" w:eastAsia="Symbol" w:hAnsi="Arial" w:cs="Arial"/>
                <w:color w:val="000000"/>
                <w:sz w:val="20"/>
                <w:szCs w:val="20"/>
              </w:rPr>
              <w:t>NAP-CC</w:t>
            </w:r>
            <w:r w:rsidR="00856027">
              <w:rPr>
                <w:rFonts w:ascii="Arial" w:eastAsia="Symbol" w:hAnsi="Arial" w:cs="Arial"/>
                <w:color w:val="000000"/>
                <w:sz w:val="20"/>
                <w:szCs w:val="20"/>
              </w:rPr>
              <w:t>I</w:t>
            </w:r>
            <w:r w:rsidRPr="0039121C">
              <w:rPr>
                <w:rFonts w:ascii="Arial" w:eastAsia="Symbol" w:hAnsi="Arial" w:cs="Arial"/>
                <w:color w:val="000000"/>
                <w:sz w:val="20"/>
                <w:szCs w:val="20"/>
              </w:rPr>
              <w:t xml:space="preserve"> </w:t>
            </w:r>
            <w:r w:rsidR="00614B89">
              <w:rPr>
                <w:rFonts w:ascii="Arial" w:eastAsia="Symbol" w:hAnsi="Arial" w:cs="Arial"/>
                <w:color w:val="000000"/>
                <w:sz w:val="20"/>
                <w:szCs w:val="20"/>
              </w:rPr>
              <w:t>(2016 - 2025</w:t>
            </w:r>
            <w:r w:rsidRPr="0039121C">
              <w:rPr>
                <w:rFonts w:ascii="Arial" w:eastAsia="Symbol" w:hAnsi="Arial" w:cs="Arial"/>
                <w:color w:val="000000"/>
                <w:sz w:val="20"/>
                <w:szCs w:val="20"/>
              </w:rPr>
              <w:t>)</w:t>
            </w:r>
          </w:p>
          <w:p w14:paraId="63DE9A7D" w14:textId="77777777" w:rsidR="0039121C" w:rsidRPr="0039121C" w:rsidRDefault="0039121C" w:rsidP="0039121C">
            <w:pPr>
              <w:spacing w:after="0" w:line="240" w:lineRule="auto"/>
              <w:rPr>
                <w:rFonts w:ascii="Arial" w:eastAsia="Times New Roman" w:hAnsi="Arial" w:cs="Arial"/>
                <w:color w:val="000000"/>
                <w:sz w:val="20"/>
                <w:szCs w:val="20"/>
              </w:rPr>
            </w:pPr>
            <w:r w:rsidRPr="0039121C">
              <w:rPr>
                <w:rFonts w:ascii="Arial" w:eastAsia="Symbol" w:hAnsi="Arial" w:cs="Arial"/>
                <w:color w:val="000000"/>
                <w:sz w:val="20"/>
                <w:szCs w:val="20"/>
              </w:rPr>
              <w:t xml:space="preserve">National Adaptation Plan for Climate Change </w:t>
            </w:r>
            <w:r w:rsidR="00856027">
              <w:rPr>
                <w:rFonts w:ascii="Arial" w:eastAsia="Symbol" w:hAnsi="Arial" w:cs="Arial"/>
                <w:color w:val="000000"/>
                <w:sz w:val="20"/>
                <w:szCs w:val="20"/>
              </w:rPr>
              <w:t>Impact</w:t>
            </w:r>
            <w:r w:rsidR="00EE5D9C">
              <w:rPr>
                <w:rFonts w:ascii="Arial" w:eastAsia="Symbol" w:hAnsi="Arial" w:cs="Arial"/>
                <w:color w:val="000000"/>
                <w:sz w:val="20"/>
                <w:szCs w:val="20"/>
              </w:rPr>
              <w:t xml:space="preserve"> in Sri Lanka</w:t>
            </w:r>
          </w:p>
        </w:tc>
        <w:tc>
          <w:tcPr>
            <w:tcW w:w="1445" w:type="dxa"/>
            <w:tcBorders>
              <w:bottom w:val="single" w:sz="4" w:space="0" w:color="auto"/>
            </w:tcBorders>
            <w:shd w:val="clear" w:color="auto" w:fill="auto"/>
            <w:noWrap/>
            <w:vAlign w:val="center"/>
            <w:hideMark/>
          </w:tcPr>
          <w:p w14:paraId="6DD990B0" w14:textId="77777777" w:rsidR="0039121C" w:rsidRPr="0039121C" w:rsidRDefault="0039121C" w:rsidP="0039121C">
            <w:pPr>
              <w:spacing w:after="0" w:line="240" w:lineRule="auto"/>
              <w:jc w:val="right"/>
              <w:rPr>
                <w:rFonts w:ascii="Arial" w:eastAsia="Times New Roman" w:hAnsi="Arial" w:cs="Arial"/>
                <w:color w:val="000000"/>
                <w:sz w:val="20"/>
                <w:szCs w:val="20"/>
              </w:rPr>
            </w:pPr>
            <w:r w:rsidRPr="0039121C">
              <w:rPr>
                <w:rFonts w:ascii="Arial" w:eastAsia="Calibri" w:hAnsi="Arial" w:cs="Arial"/>
                <w:color w:val="000000"/>
                <w:sz w:val="20"/>
                <w:szCs w:val="20"/>
              </w:rPr>
              <w:t>501</w:t>
            </w:r>
          </w:p>
        </w:tc>
        <w:tc>
          <w:tcPr>
            <w:tcW w:w="1355" w:type="dxa"/>
            <w:tcBorders>
              <w:bottom w:val="single" w:sz="4" w:space="0" w:color="auto"/>
            </w:tcBorders>
            <w:shd w:val="clear" w:color="auto" w:fill="auto"/>
            <w:noWrap/>
            <w:vAlign w:val="center"/>
            <w:hideMark/>
          </w:tcPr>
          <w:p w14:paraId="4E90A3A0" w14:textId="77777777" w:rsidR="0039121C" w:rsidRPr="0039121C" w:rsidRDefault="0039121C" w:rsidP="0039121C">
            <w:pPr>
              <w:spacing w:after="0" w:line="240" w:lineRule="auto"/>
              <w:jc w:val="right"/>
              <w:rPr>
                <w:rFonts w:ascii="Arial" w:eastAsia="Times New Roman" w:hAnsi="Arial" w:cs="Arial"/>
                <w:color w:val="000000"/>
                <w:sz w:val="20"/>
                <w:szCs w:val="20"/>
              </w:rPr>
            </w:pPr>
            <w:r w:rsidRPr="0039121C">
              <w:rPr>
                <w:rFonts w:ascii="Arial" w:eastAsia="Times New Roman" w:hAnsi="Arial" w:cs="Arial"/>
                <w:color w:val="000000"/>
                <w:sz w:val="20"/>
                <w:szCs w:val="20"/>
              </w:rPr>
              <w:t>1.6</w:t>
            </w:r>
          </w:p>
        </w:tc>
      </w:tr>
      <w:tr w:rsidR="0039121C" w:rsidRPr="0039121C" w14:paraId="7C6BD0F4" w14:textId="77777777" w:rsidTr="00AE4DFC">
        <w:trPr>
          <w:trHeight w:val="530"/>
          <w:jc w:val="center"/>
        </w:trPr>
        <w:tc>
          <w:tcPr>
            <w:tcW w:w="5239" w:type="dxa"/>
            <w:tcBorders>
              <w:bottom w:val="single" w:sz="4" w:space="0" w:color="auto"/>
            </w:tcBorders>
            <w:shd w:val="clear" w:color="auto" w:fill="auto"/>
            <w:noWrap/>
            <w:vAlign w:val="center"/>
            <w:hideMark/>
          </w:tcPr>
          <w:p w14:paraId="06665967" w14:textId="77777777" w:rsidR="0039121C" w:rsidRPr="0039121C" w:rsidRDefault="0039121C" w:rsidP="0039121C">
            <w:pPr>
              <w:spacing w:after="0" w:line="240" w:lineRule="auto"/>
              <w:rPr>
                <w:rFonts w:ascii="Arial" w:eastAsia="Times New Roman" w:hAnsi="Arial" w:cs="Arial"/>
                <w:color w:val="000000"/>
                <w:sz w:val="20"/>
                <w:szCs w:val="20"/>
              </w:rPr>
            </w:pPr>
            <w:r w:rsidRPr="0039121C">
              <w:rPr>
                <w:rFonts w:ascii="Arial" w:eastAsia="Times New Roman" w:hAnsi="Arial" w:cs="Arial"/>
                <w:color w:val="000000"/>
                <w:sz w:val="20"/>
                <w:szCs w:val="20"/>
              </w:rPr>
              <w:t>Total cost of national biodiversity plans</w:t>
            </w:r>
          </w:p>
        </w:tc>
        <w:tc>
          <w:tcPr>
            <w:tcW w:w="1445" w:type="dxa"/>
            <w:tcBorders>
              <w:bottom w:val="single" w:sz="4" w:space="0" w:color="auto"/>
            </w:tcBorders>
            <w:shd w:val="clear" w:color="auto" w:fill="auto"/>
            <w:noWrap/>
            <w:vAlign w:val="center"/>
            <w:hideMark/>
          </w:tcPr>
          <w:p w14:paraId="1F807A72" w14:textId="77777777" w:rsidR="0039121C" w:rsidRPr="0039121C" w:rsidRDefault="0039121C" w:rsidP="0039121C">
            <w:pPr>
              <w:spacing w:after="0" w:line="240" w:lineRule="auto"/>
              <w:jc w:val="right"/>
              <w:rPr>
                <w:rFonts w:ascii="Arial" w:eastAsia="Times New Roman" w:hAnsi="Arial" w:cs="Arial"/>
                <w:color w:val="000000"/>
                <w:sz w:val="20"/>
                <w:szCs w:val="20"/>
              </w:rPr>
            </w:pPr>
            <w:r w:rsidRPr="0039121C">
              <w:rPr>
                <w:rFonts w:ascii="Arial" w:eastAsia="Calibri" w:hAnsi="Arial" w:cs="Arial"/>
                <w:color w:val="000000"/>
                <w:sz w:val="20"/>
                <w:szCs w:val="20"/>
              </w:rPr>
              <w:t>30713</w:t>
            </w:r>
          </w:p>
        </w:tc>
        <w:tc>
          <w:tcPr>
            <w:tcW w:w="1355" w:type="dxa"/>
            <w:tcBorders>
              <w:bottom w:val="single" w:sz="4" w:space="0" w:color="auto"/>
            </w:tcBorders>
            <w:shd w:val="clear" w:color="auto" w:fill="auto"/>
            <w:noWrap/>
            <w:vAlign w:val="center"/>
            <w:hideMark/>
          </w:tcPr>
          <w:p w14:paraId="1EE61978" w14:textId="77777777" w:rsidR="0039121C" w:rsidRPr="0039121C" w:rsidRDefault="0039121C" w:rsidP="0039121C">
            <w:pPr>
              <w:spacing w:after="0" w:line="240" w:lineRule="auto"/>
              <w:jc w:val="right"/>
              <w:rPr>
                <w:rFonts w:ascii="Arial" w:eastAsia="Times New Roman" w:hAnsi="Arial" w:cs="Arial"/>
                <w:color w:val="000000"/>
                <w:sz w:val="20"/>
                <w:szCs w:val="20"/>
              </w:rPr>
            </w:pPr>
            <w:r w:rsidRPr="0039121C">
              <w:rPr>
                <w:rFonts w:ascii="Arial" w:eastAsia="Times New Roman" w:hAnsi="Arial" w:cs="Arial"/>
                <w:color w:val="000000"/>
                <w:sz w:val="20"/>
                <w:szCs w:val="20"/>
              </w:rPr>
              <w:t>100.0</w:t>
            </w:r>
          </w:p>
        </w:tc>
      </w:tr>
    </w:tbl>
    <w:p w14:paraId="4F3C21F7" w14:textId="77777777" w:rsidR="0039121C" w:rsidRDefault="0039121C" w:rsidP="00437B03">
      <w:pPr>
        <w:jc w:val="both"/>
      </w:pPr>
    </w:p>
    <w:p w14:paraId="5701F65B" w14:textId="77777777" w:rsidR="009C478C" w:rsidRDefault="009C478C" w:rsidP="009C478C">
      <w:pPr>
        <w:jc w:val="both"/>
      </w:pPr>
      <w:r>
        <w:t xml:space="preserve">There are four national biodiversity-related strategic plans (Table 1), which are taken into consideration by the FNA for estimating the financial gap. The vision of the NBSAP is “Sri Lanka’s biodiversity is valued, conserved and sustainably used to benefit all its citizens”. The NBSAP has set 12 national targets formulated under five strategic objectives. With its re-defined time horizon as 2018-2024, the implementation of the NBSAP costs LKR 13.4 billion, which is 43.7 percent of the total cost of all plans. The strategic objectives are related to conservation, sustainable use, agrobiodiversity, equitable sharing and well-being (Table 2). </w:t>
      </w:r>
      <w:r w:rsidRPr="0014670A">
        <w:t xml:space="preserve">While financial need of each of the 12 NBSAP targets varies significantly, reducing </w:t>
      </w:r>
      <w:r>
        <w:t>habitat loss (Target 2) needs 53.1 percent</w:t>
      </w:r>
      <w:r w:rsidRPr="0014670A">
        <w:t xml:space="preserve"> of the total and, reducing species (Target 4) 28</w:t>
      </w:r>
      <w:r>
        <w:t>.7 percent of the total.</w:t>
      </w:r>
    </w:p>
    <w:p w14:paraId="50EFEE5A" w14:textId="724DBD3B" w:rsidR="002B78D2" w:rsidRDefault="00811C8F" w:rsidP="00437B03">
      <w:pPr>
        <w:jc w:val="both"/>
      </w:pPr>
      <w:r w:rsidRPr="00811C8F">
        <w:t xml:space="preserve">In addition to NBSAP, the FNA has taken into consideration three more national biodiversity-related strategic plans for estimating the financial gap. According to National REDD+ Investment Framework and Action Plan (NRIFAP) 2018-2022, Sri Lanka will harness the transformational potential of REDD+ to ensure improved land management practices that protect, maintain and enhance ecological functions and social benefits, while sustaining current economic growth. The implementation of NRIFAP costs 48.5 percent of the total financial gap identified in the FNA. The </w:t>
      </w:r>
      <w:r w:rsidR="00856027" w:rsidRPr="00856027">
        <w:t>National Action Program for Combating Land Degradation</w:t>
      </w:r>
      <w:r w:rsidR="00614B89">
        <w:t xml:space="preserve"> </w:t>
      </w:r>
      <w:r w:rsidR="00856027">
        <w:t xml:space="preserve">in Sri Lanka </w:t>
      </w:r>
      <w:r w:rsidR="00614B89">
        <w:t>(NAP-CLD) 2015</w:t>
      </w:r>
      <w:r w:rsidRPr="00811C8F">
        <w:t xml:space="preserve">-2024 and the National Adaptation Plan </w:t>
      </w:r>
      <w:r w:rsidR="00614B89">
        <w:t xml:space="preserve">for Climate Change </w:t>
      </w:r>
      <w:r w:rsidR="00856027">
        <w:t xml:space="preserve">Impact in Sri Lanka </w:t>
      </w:r>
      <w:r w:rsidR="00614B89">
        <w:t>(NAP-CC</w:t>
      </w:r>
      <w:r w:rsidR="00856027">
        <w:t>I</w:t>
      </w:r>
      <w:r w:rsidR="00614B89">
        <w:t>) 2016-2025</w:t>
      </w:r>
      <w:r w:rsidRPr="00811C8F">
        <w:t xml:space="preserve"> are </w:t>
      </w:r>
      <w:r w:rsidR="00C774E6">
        <w:t xml:space="preserve">mainly </w:t>
      </w:r>
      <w:r w:rsidRPr="00811C8F">
        <w:t>concerned with strategic plans to address the issues of land degradation and the impact of climate change, respectively.</w:t>
      </w:r>
      <w:r w:rsidR="001C1173">
        <w:t xml:space="preserve"> </w:t>
      </w:r>
      <w:r w:rsidR="00C774E6">
        <w:t xml:space="preserve">But for the BIOFIN process, only the biodiversity related plans were considered in the FNA </w:t>
      </w:r>
      <w:r w:rsidR="001C1173">
        <w:t>report</w:t>
      </w:r>
      <w:r w:rsidR="00C774E6">
        <w:t xml:space="preserve">. As an </w:t>
      </w:r>
      <w:proofErr w:type="gramStart"/>
      <w:r w:rsidR="00C774E6">
        <w:t>example</w:t>
      </w:r>
      <w:proofErr w:type="gramEnd"/>
      <w:r w:rsidR="00C774E6">
        <w:t xml:space="preserve"> even though there are many recommendations in the NAP-CCI</w:t>
      </w:r>
      <w:r w:rsidR="001C1173">
        <w:t>,</w:t>
      </w:r>
      <w:r w:rsidR="00C774E6">
        <w:t xml:space="preserve"> for the BIOFIN estimations only the recommendations in the Eco systems and Biodiversity section were considered.</w:t>
      </w:r>
    </w:p>
    <w:p w14:paraId="1F97C292" w14:textId="77777777" w:rsidR="00811C8F" w:rsidRDefault="00811C8F" w:rsidP="00437B03">
      <w:pPr>
        <w:jc w:val="both"/>
      </w:pPr>
    </w:p>
    <w:tbl>
      <w:tblPr>
        <w:tblW w:w="4540" w:type="pct"/>
        <w:jc w:val="center"/>
        <w:tblBorders>
          <w:top w:val="single" w:sz="4" w:space="0" w:color="auto"/>
          <w:insideH w:val="single" w:sz="4" w:space="0" w:color="auto"/>
        </w:tblBorders>
        <w:tblLook w:val="04A0" w:firstRow="1" w:lastRow="0" w:firstColumn="1" w:lastColumn="0" w:noHBand="0" w:noVBand="1"/>
      </w:tblPr>
      <w:tblGrid>
        <w:gridCol w:w="1892"/>
        <w:gridCol w:w="4956"/>
        <w:gridCol w:w="1349"/>
      </w:tblGrid>
      <w:tr w:rsidR="00735E7B" w:rsidRPr="0084246E" w14:paraId="32A745FC" w14:textId="77777777" w:rsidTr="00CC6271">
        <w:trPr>
          <w:jc w:val="center"/>
        </w:trPr>
        <w:tc>
          <w:tcPr>
            <w:tcW w:w="5000" w:type="pct"/>
            <w:gridSpan w:val="3"/>
            <w:tcBorders>
              <w:top w:val="nil"/>
              <w:bottom w:val="single" w:sz="4" w:space="0" w:color="auto"/>
            </w:tcBorders>
            <w:shd w:val="clear" w:color="auto" w:fill="FFFFFF" w:themeFill="background1"/>
            <w:vAlign w:val="center"/>
          </w:tcPr>
          <w:p w14:paraId="1C1026A5" w14:textId="0AFA7418" w:rsidR="00735E7B" w:rsidRDefault="00735E7B" w:rsidP="009C478C">
            <w:pPr>
              <w:spacing w:after="0" w:line="280" w:lineRule="exact"/>
              <w:jc w:val="center"/>
              <w:rPr>
                <w:rFonts w:ascii="Arial" w:eastAsia="Calibri" w:hAnsi="Arial" w:cs="Arial"/>
                <w:sz w:val="20"/>
                <w:szCs w:val="20"/>
                <w:lang w:val="en-GB"/>
              </w:rPr>
            </w:pPr>
            <w:r>
              <w:rPr>
                <w:rFonts w:ascii="Arial" w:eastAsia="Calibri" w:hAnsi="Arial" w:cs="Arial"/>
                <w:sz w:val="20"/>
                <w:szCs w:val="20"/>
                <w:lang w:val="en-GB"/>
              </w:rPr>
              <w:t xml:space="preserve">Table 2: </w:t>
            </w:r>
            <w:r w:rsidRPr="00735E7B">
              <w:rPr>
                <w:rFonts w:ascii="Arial" w:eastAsia="Calibri" w:hAnsi="Arial" w:cs="Arial"/>
                <w:sz w:val="20"/>
                <w:szCs w:val="20"/>
                <w:lang w:val="en-GB"/>
              </w:rPr>
              <w:t>National Biodiversity Strategic Action Plan</w:t>
            </w:r>
            <w:r>
              <w:rPr>
                <w:rFonts w:ascii="Arial" w:eastAsia="Calibri" w:hAnsi="Arial" w:cs="Arial"/>
                <w:sz w:val="20"/>
                <w:szCs w:val="20"/>
                <w:lang w:val="en-GB"/>
              </w:rPr>
              <w:t>: Objectives and Targets</w:t>
            </w:r>
          </w:p>
        </w:tc>
      </w:tr>
      <w:tr w:rsidR="004548FA" w:rsidRPr="0084246E" w14:paraId="153A7D16" w14:textId="77777777" w:rsidTr="00AE4DFC">
        <w:trPr>
          <w:jc w:val="center"/>
        </w:trPr>
        <w:tc>
          <w:tcPr>
            <w:tcW w:w="1154" w:type="pct"/>
            <w:tcBorders>
              <w:top w:val="single" w:sz="4" w:space="0" w:color="auto"/>
            </w:tcBorders>
            <w:shd w:val="clear" w:color="auto" w:fill="auto"/>
            <w:vAlign w:val="center"/>
          </w:tcPr>
          <w:p w14:paraId="5634974F" w14:textId="77777777" w:rsidR="004548FA" w:rsidRDefault="00210C29" w:rsidP="004548FA">
            <w:pPr>
              <w:spacing w:after="0" w:line="280" w:lineRule="exact"/>
              <w:rPr>
                <w:rFonts w:ascii="Arial" w:eastAsia="Calibri" w:hAnsi="Arial" w:cs="Arial"/>
                <w:sz w:val="20"/>
                <w:szCs w:val="20"/>
                <w:lang w:val="en-GB"/>
              </w:rPr>
            </w:pPr>
            <w:r>
              <w:rPr>
                <w:rFonts w:ascii="Arial" w:eastAsia="Calibri" w:hAnsi="Arial" w:cs="Arial"/>
                <w:sz w:val="20"/>
                <w:szCs w:val="20"/>
                <w:lang w:val="en-GB"/>
              </w:rPr>
              <w:t>S</w:t>
            </w:r>
            <w:r w:rsidR="00CC6271">
              <w:rPr>
                <w:rFonts w:ascii="Arial" w:eastAsia="Calibri" w:hAnsi="Arial" w:cs="Arial"/>
                <w:sz w:val="20"/>
                <w:szCs w:val="20"/>
                <w:lang w:val="en-GB"/>
              </w:rPr>
              <w:t>t</w:t>
            </w:r>
            <w:r>
              <w:rPr>
                <w:rFonts w:ascii="Arial" w:eastAsia="Calibri" w:hAnsi="Arial" w:cs="Arial"/>
                <w:sz w:val="20"/>
                <w:szCs w:val="20"/>
                <w:lang w:val="en-GB"/>
              </w:rPr>
              <w:t>rategic Objectives</w:t>
            </w:r>
          </w:p>
        </w:tc>
        <w:tc>
          <w:tcPr>
            <w:tcW w:w="3023" w:type="pct"/>
            <w:tcBorders>
              <w:top w:val="single" w:sz="4" w:space="0" w:color="auto"/>
            </w:tcBorders>
            <w:shd w:val="clear" w:color="auto" w:fill="auto"/>
            <w:vAlign w:val="center"/>
          </w:tcPr>
          <w:p w14:paraId="3A9D8578" w14:textId="77777777" w:rsidR="004548FA" w:rsidRPr="001B5FFC" w:rsidRDefault="002B78D2" w:rsidP="004548FA">
            <w:pPr>
              <w:pStyle w:val="ListParagraph"/>
              <w:spacing w:after="0" w:line="280" w:lineRule="exact"/>
              <w:rPr>
                <w:rFonts w:ascii="Arial" w:eastAsia="Calibri" w:hAnsi="Arial" w:cs="Arial"/>
                <w:sz w:val="20"/>
                <w:szCs w:val="20"/>
                <w:lang w:val="en-GB"/>
              </w:rPr>
            </w:pPr>
            <w:r>
              <w:rPr>
                <w:rFonts w:ascii="Arial" w:eastAsia="Calibri" w:hAnsi="Arial" w:cs="Arial"/>
                <w:sz w:val="20"/>
                <w:szCs w:val="20"/>
                <w:lang w:val="en-GB"/>
              </w:rPr>
              <w:t xml:space="preserve">NBSAP </w:t>
            </w:r>
            <w:r w:rsidR="00210C29">
              <w:rPr>
                <w:rFonts w:ascii="Arial" w:eastAsia="Calibri" w:hAnsi="Arial" w:cs="Arial"/>
                <w:sz w:val="20"/>
                <w:szCs w:val="20"/>
                <w:lang w:val="en-GB"/>
              </w:rPr>
              <w:t>Targets</w:t>
            </w:r>
          </w:p>
        </w:tc>
        <w:tc>
          <w:tcPr>
            <w:tcW w:w="823" w:type="pct"/>
            <w:tcBorders>
              <w:top w:val="single" w:sz="4" w:space="0" w:color="auto"/>
            </w:tcBorders>
            <w:shd w:val="clear" w:color="auto" w:fill="auto"/>
            <w:vAlign w:val="center"/>
          </w:tcPr>
          <w:p w14:paraId="48162948" w14:textId="77777777" w:rsidR="004548FA" w:rsidRPr="0084246E" w:rsidRDefault="00210C29" w:rsidP="002B78D2">
            <w:pPr>
              <w:spacing w:after="0" w:line="280" w:lineRule="exact"/>
              <w:jc w:val="right"/>
              <w:rPr>
                <w:rFonts w:ascii="Arial" w:eastAsia="Calibri" w:hAnsi="Arial" w:cs="Arial"/>
                <w:sz w:val="20"/>
                <w:szCs w:val="20"/>
                <w:lang w:val="en-GB"/>
              </w:rPr>
            </w:pPr>
            <w:r>
              <w:rPr>
                <w:rFonts w:ascii="Arial" w:eastAsia="Calibri" w:hAnsi="Arial" w:cs="Arial"/>
                <w:sz w:val="20"/>
                <w:szCs w:val="20"/>
                <w:lang w:val="en-GB"/>
              </w:rPr>
              <w:t>Cost share</w:t>
            </w:r>
            <w:r w:rsidR="002B78D2">
              <w:rPr>
                <w:rFonts w:ascii="Arial" w:eastAsia="Calibri" w:hAnsi="Arial" w:cs="Arial"/>
                <w:sz w:val="20"/>
                <w:szCs w:val="20"/>
                <w:lang w:val="en-GB"/>
              </w:rPr>
              <w:t xml:space="preserve"> (%)</w:t>
            </w:r>
          </w:p>
        </w:tc>
      </w:tr>
      <w:tr w:rsidR="004548FA" w:rsidRPr="0084246E" w14:paraId="6BBCBC06" w14:textId="77777777" w:rsidTr="00CC6271">
        <w:trPr>
          <w:jc w:val="center"/>
        </w:trPr>
        <w:tc>
          <w:tcPr>
            <w:tcW w:w="1154" w:type="pct"/>
            <w:vMerge w:val="restart"/>
            <w:vAlign w:val="center"/>
          </w:tcPr>
          <w:p w14:paraId="7FDD64DE" w14:textId="77777777" w:rsidR="004548FA" w:rsidRPr="0084246E" w:rsidRDefault="004548FA" w:rsidP="004548FA">
            <w:pPr>
              <w:spacing w:after="0" w:line="280" w:lineRule="exact"/>
              <w:rPr>
                <w:rFonts w:ascii="Arial" w:eastAsia="Calibri" w:hAnsi="Arial" w:cs="Arial"/>
                <w:sz w:val="20"/>
                <w:szCs w:val="20"/>
                <w:lang w:val="en-GB"/>
              </w:rPr>
            </w:pPr>
            <w:r>
              <w:rPr>
                <w:rFonts w:ascii="Arial" w:eastAsia="Calibri" w:hAnsi="Arial" w:cs="Arial"/>
                <w:sz w:val="20"/>
                <w:szCs w:val="20"/>
                <w:lang w:val="en-GB"/>
              </w:rPr>
              <w:t>Conservation</w:t>
            </w:r>
          </w:p>
        </w:tc>
        <w:tc>
          <w:tcPr>
            <w:tcW w:w="3023" w:type="pct"/>
            <w:shd w:val="clear" w:color="auto" w:fill="auto"/>
            <w:vAlign w:val="center"/>
          </w:tcPr>
          <w:p w14:paraId="6B739B79" w14:textId="77777777" w:rsidR="004548FA" w:rsidRPr="001B5FFC" w:rsidRDefault="004548FA" w:rsidP="004548FA">
            <w:pPr>
              <w:pStyle w:val="ListParagraph"/>
              <w:numPr>
                <w:ilvl w:val="0"/>
                <w:numId w:val="4"/>
              </w:numPr>
              <w:spacing w:after="0" w:line="280" w:lineRule="exact"/>
              <w:ind w:left="523" w:hanging="450"/>
              <w:rPr>
                <w:rFonts w:ascii="Arial" w:eastAsia="Calibri" w:hAnsi="Arial" w:cs="Arial"/>
                <w:sz w:val="20"/>
                <w:szCs w:val="20"/>
              </w:rPr>
            </w:pPr>
            <w:r w:rsidRPr="001B5FFC">
              <w:rPr>
                <w:rFonts w:ascii="Arial" w:eastAsia="Calibri" w:hAnsi="Arial" w:cs="Arial"/>
                <w:sz w:val="20"/>
                <w:szCs w:val="20"/>
                <w:lang w:val="en-GB"/>
              </w:rPr>
              <w:t>Inventorying species and ecosystems</w:t>
            </w:r>
          </w:p>
        </w:tc>
        <w:tc>
          <w:tcPr>
            <w:tcW w:w="823" w:type="pct"/>
            <w:vAlign w:val="center"/>
          </w:tcPr>
          <w:p w14:paraId="4D20507D" w14:textId="77777777" w:rsidR="002B78D2" w:rsidRPr="0084246E" w:rsidRDefault="002B78D2" w:rsidP="002B78D2">
            <w:pPr>
              <w:spacing w:after="0" w:line="280" w:lineRule="exact"/>
              <w:jc w:val="right"/>
              <w:rPr>
                <w:rFonts w:ascii="Arial" w:eastAsia="Calibri" w:hAnsi="Arial" w:cs="Arial"/>
                <w:sz w:val="20"/>
                <w:szCs w:val="20"/>
                <w:lang w:val="en-GB"/>
              </w:rPr>
            </w:pPr>
            <w:r>
              <w:rPr>
                <w:rFonts w:ascii="Arial" w:eastAsia="Calibri" w:hAnsi="Arial" w:cs="Arial"/>
                <w:sz w:val="20"/>
                <w:szCs w:val="20"/>
                <w:lang w:val="en-GB"/>
              </w:rPr>
              <w:t>3.6</w:t>
            </w:r>
          </w:p>
        </w:tc>
      </w:tr>
      <w:tr w:rsidR="004548FA" w:rsidRPr="0084246E" w14:paraId="7F608BE6" w14:textId="77777777" w:rsidTr="00CC6271">
        <w:trPr>
          <w:jc w:val="center"/>
        </w:trPr>
        <w:tc>
          <w:tcPr>
            <w:tcW w:w="1154" w:type="pct"/>
            <w:vMerge/>
            <w:vAlign w:val="center"/>
          </w:tcPr>
          <w:p w14:paraId="4286329B" w14:textId="77777777" w:rsidR="004548FA" w:rsidRPr="0084246E" w:rsidRDefault="004548FA" w:rsidP="004548FA">
            <w:pPr>
              <w:spacing w:after="0" w:line="280" w:lineRule="exact"/>
              <w:rPr>
                <w:rFonts w:ascii="Arial" w:eastAsia="Calibri" w:hAnsi="Arial" w:cs="Arial"/>
                <w:sz w:val="20"/>
                <w:szCs w:val="20"/>
              </w:rPr>
            </w:pPr>
          </w:p>
        </w:tc>
        <w:tc>
          <w:tcPr>
            <w:tcW w:w="3023" w:type="pct"/>
            <w:shd w:val="clear" w:color="auto" w:fill="auto"/>
            <w:vAlign w:val="center"/>
          </w:tcPr>
          <w:p w14:paraId="31504B09" w14:textId="77777777" w:rsidR="004548FA" w:rsidRPr="001B5FFC" w:rsidRDefault="004548FA" w:rsidP="004548FA">
            <w:pPr>
              <w:pStyle w:val="ListParagraph"/>
              <w:numPr>
                <w:ilvl w:val="0"/>
                <w:numId w:val="4"/>
              </w:numPr>
              <w:spacing w:after="0" w:line="280" w:lineRule="exact"/>
              <w:ind w:left="523" w:hanging="450"/>
              <w:rPr>
                <w:rFonts w:ascii="Arial" w:eastAsia="Calibri" w:hAnsi="Arial" w:cs="Arial"/>
                <w:sz w:val="20"/>
                <w:szCs w:val="20"/>
              </w:rPr>
            </w:pPr>
            <w:r w:rsidRPr="001B5FFC">
              <w:rPr>
                <w:rFonts w:ascii="Arial" w:eastAsia="Calibri" w:hAnsi="Arial" w:cs="Arial"/>
                <w:sz w:val="20"/>
                <w:szCs w:val="20"/>
              </w:rPr>
              <w:t>Reducing habitat loss</w:t>
            </w:r>
          </w:p>
        </w:tc>
        <w:tc>
          <w:tcPr>
            <w:tcW w:w="823" w:type="pct"/>
            <w:vAlign w:val="center"/>
          </w:tcPr>
          <w:p w14:paraId="705B733B" w14:textId="77777777" w:rsidR="004548FA" w:rsidRPr="0084246E"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53.1</w:t>
            </w:r>
          </w:p>
        </w:tc>
      </w:tr>
      <w:tr w:rsidR="004548FA" w:rsidRPr="0084246E" w14:paraId="6469CE9D" w14:textId="77777777" w:rsidTr="00CC6271">
        <w:trPr>
          <w:jc w:val="center"/>
        </w:trPr>
        <w:tc>
          <w:tcPr>
            <w:tcW w:w="1154" w:type="pct"/>
            <w:vMerge/>
            <w:vAlign w:val="center"/>
          </w:tcPr>
          <w:p w14:paraId="35E4054B" w14:textId="77777777" w:rsidR="004548FA" w:rsidRPr="0084246E" w:rsidRDefault="004548FA" w:rsidP="004548FA">
            <w:pPr>
              <w:spacing w:after="0" w:line="280" w:lineRule="exact"/>
              <w:rPr>
                <w:rFonts w:ascii="Arial" w:eastAsia="Calibri" w:hAnsi="Arial" w:cs="Arial"/>
                <w:sz w:val="20"/>
                <w:szCs w:val="20"/>
              </w:rPr>
            </w:pPr>
          </w:p>
        </w:tc>
        <w:tc>
          <w:tcPr>
            <w:tcW w:w="3023" w:type="pct"/>
            <w:shd w:val="clear" w:color="auto" w:fill="auto"/>
            <w:vAlign w:val="center"/>
          </w:tcPr>
          <w:p w14:paraId="07ABE923" w14:textId="77777777" w:rsidR="004548FA" w:rsidRPr="001B5FFC" w:rsidRDefault="004548FA" w:rsidP="004548FA">
            <w:pPr>
              <w:pStyle w:val="ListParagraph"/>
              <w:numPr>
                <w:ilvl w:val="0"/>
                <w:numId w:val="4"/>
              </w:numPr>
              <w:spacing w:after="0" w:line="280" w:lineRule="exact"/>
              <w:ind w:left="523" w:hanging="450"/>
              <w:rPr>
                <w:rFonts w:ascii="Arial" w:eastAsia="Calibri" w:hAnsi="Arial" w:cs="Arial"/>
                <w:sz w:val="20"/>
                <w:szCs w:val="20"/>
                <w:lang w:val="en-GB"/>
              </w:rPr>
            </w:pPr>
            <w:r w:rsidRPr="001B5FFC">
              <w:rPr>
                <w:rFonts w:ascii="Arial" w:eastAsia="Calibri" w:hAnsi="Arial" w:cs="Arial"/>
                <w:sz w:val="20"/>
                <w:szCs w:val="20"/>
              </w:rPr>
              <w:t xml:space="preserve">Managing PA network </w:t>
            </w:r>
          </w:p>
        </w:tc>
        <w:tc>
          <w:tcPr>
            <w:tcW w:w="823" w:type="pct"/>
            <w:vAlign w:val="center"/>
          </w:tcPr>
          <w:p w14:paraId="691BA3DA" w14:textId="77777777" w:rsidR="004548FA" w:rsidRPr="0084246E"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1.0</w:t>
            </w:r>
          </w:p>
        </w:tc>
      </w:tr>
      <w:tr w:rsidR="004548FA" w:rsidRPr="0084246E" w14:paraId="6EBF148E" w14:textId="77777777" w:rsidTr="00CC6271">
        <w:trPr>
          <w:jc w:val="center"/>
        </w:trPr>
        <w:tc>
          <w:tcPr>
            <w:tcW w:w="1154" w:type="pct"/>
            <w:vMerge/>
            <w:vAlign w:val="center"/>
          </w:tcPr>
          <w:p w14:paraId="4A2856DE" w14:textId="77777777" w:rsidR="004548FA" w:rsidRPr="0084246E" w:rsidRDefault="004548FA" w:rsidP="004548FA">
            <w:pPr>
              <w:spacing w:after="0" w:line="280" w:lineRule="exact"/>
              <w:rPr>
                <w:rFonts w:ascii="Arial" w:eastAsia="Calibri" w:hAnsi="Arial" w:cs="Arial"/>
                <w:sz w:val="20"/>
                <w:szCs w:val="20"/>
              </w:rPr>
            </w:pPr>
          </w:p>
        </w:tc>
        <w:tc>
          <w:tcPr>
            <w:tcW w:w="3023" w:type="pct"/>
            <w:shd w:val="clear" w:color="auto" w:fill="auto"/>
            <w:vAlign w:val="center"/>
          </w:tcPr>
          <w:p w14:paraId="089969D4" w14:textId="77777777" w:rsidR="004548FA" w:rsidRPr="001B5FFC" w:rsidRDefault="004548FA" w:rsidP="004548FA">
            <w:pPr>
              <w:pStyle w:val="ListParagraph"/>
              <w:numPr>
                <w:ilvl w:val="0"/>
                <w:numId w:val="4"/>
              </w:numPr>
              <w:spacing w:after="0" w:line="280" w:lineRule="exact"/>
              <w:ind w:left="523" w:hanging="450"/>
              <w:rPr>
                <w:rFonts w:ascii="Arial" w:eastAsia="Calibri" w:hAnsi="Arial" w:cs="Arial"/>
                <w:sz w:val="20"/>
                <w:szCs w:val="20"/>
              </w:rPr>
            </w:pPr>
            <w:r w:rsidRPr="001B5FFC">
              <w:rPr>
                <w:rFonts w:ascii="Arial" w:eastAsia="Calibri" w:hAnsi="Arial" w:cs="Arial"/>
                <w:sz w:val="20"/>
                <w:szCs w:val="20"/>
              </w:rPr>
              <w:t>Reducing species loss</w:t>
            </w:r>
          </w:p>
        </w:tc>
        <w:tc>
          <w:tcPr>
            <w:tcW w:w="823" w:type="pct"/>
            <w:vAlign w:val="center"/>
          </w:tcPr>
          <w:p w14:paraId="007DA211" w14:textId="77777777" w:rsidR="004548FA" w:rsidRPr="0084246E"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28.7</w:t>
            </w:r>
          </w:p>
        </w:tc>
      </w:tr>
      <w:tr w:rsidR="002B78D2" w:rsidRPr="0084246E" w14:paraId="31ACEF42" w14:textId="77777777" w:rsidTr="00CC6271">
        <w:trPr>
          <w:jc w:val="center"/>
        </w:trPr>
        <w:tc>
          <w:tcPr>
            <w:tcW w:w="1154" w:type="pct"/>
            <w:vMerge w:val="restart"/>
            <w:vAlign w:val="center"/>
          </w:tcPr>
          <w:p w14:paraId="33847623" w14:textId="77777777" w:rsidR="004548FA" w:rsidRPr="0084246E" w:rsidRDefault="004548FA" w:rsidP="004548FA">
            <w:pPr>
              <w:spacing w:after="0" w:line="280" w:lineRule="exact"/>
              <w:rPr>
                <w:rFonts w:ascii="Arial" w:eastAsia="Calibri" w:hAnsi="Arial" w:cs="Arial"/>
                <w:sz w:val="20"/>
                <w:szCs w:val="20"/>
              </w:rPr>
            </w:pPr>
            <w:r>
              <w:rPr>
                <w:rFonts w:ascii="Arial" w:eastAsia="Calibri" w:hAnsi="Arial" w:cs="Arial"/>
                <w:sz w:val="20"/>
                <w:szCs w:val="20"/>
              </w:rPr>
              <w:t>Sustainable use</w:t>
            </w:r>
          </w:p>
        </w:tc>
        <w:tc>
          <w:tcPr>
            <w:tcW w:w="3023" w:type="pct"/>
            <w:shd w:val="clear" w:color="auto" w:fill="auto"/>
            <w:vAlign w:val="center"/>
          </w:tcPr>
          <w:p w14:paraId="7BB4E6F7" w14:textId="77777777" w:rsidR="004548FA" w:rsidRPr="001B5FFC" w:rsidRDefault="004548FA" w:rsidP="004548FA">
            <w:pPr>
              <w:pStyle w:val="ListParagraph"/>
              <w:numPr>
                <w:ilvl w:val="0"/>
                <w:numId w:val="4"/>
              </w:numPr>
              <w:spacing w:after="0" w:line="280" w:lineRule="exact"/>
              <w:ind w:left="523" w:hanging="450"/>
              <w:rPr>
                <w:rFonts w:ascii="Arial" w:eastAsia="Calibri" w:hAnsi="Arial" w:cs="Arial"/>
                <w:sz w:val="20"/>
                <w:szCs w:val="20"/>
              </w:rPr>
            </w:pPr>
            <w:r w:rsidRPr="001B5FFC">
              <w:rPr>
                <w:rFonts w:ascii="Arial" w:eastAsia="Calibri" w:hAnsi="Arial" w:cs="Arial"/>
                <w:sz w:val="20"/>
                <w:szCs w:val="20"/>
              </w:rPr>
              <w:t>Mainstreaming biodiversity valuation</w:t>
            </w:r>
          </w:p>
        </w:tc>
        <w:tc>
          <w:tcPr>
            <w:tcW w:w="823" w:type="pct"/>
            <w:vAlign w:val="center"/>
          </w:tcPr>
          <w:p w14:paraId="660D9228" w14:textId="77777777" w:rsidR="004548FA" w:rsidRPr="0084246E"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0.2</w:t>
            </w:r>
          </w:p>
        </w:tc>
      </w:tr>
      <w:tr w:rsidR="002B78D2" w:rsidRPr="0084246E" w14:paraId="14FE0ABA" w14:textId="77777777" w:rsidTr="00CC6271">
        <w:trPr>
          <w:jc w:val="center"/>
        </w:trPr>
        <w:tc>
          <w:tcPr>
            <w:tcW w:w="1154" w:type="pct"/>
            <w:vMerge/>
            <w:vAlign w:val="center"/>
          </w:tcPr>
          <w:p w14:paraId="526391F0" w14:textId="77777777" w:rsidR="004548FA" w:rsidRPr="0084246E" w:rsidRDefault="004548FA" w:rsidP="004548FA">
            <w:pPr>
              <w:spacing w:after="0" w:line="280" w:lineRule="exact"/>
              <w:rPr>
                <w:rFonts w:ascii="Arial" w:eastAsia="Calibri" w:hAnsi="Arial" w:cs="Arial"/>
                <w:sz w:val="20"/>
                <w:szCs w:val="20"/>
              </w:rPr>
            </w:pPr>
          </w:p>
        </w:tc>
        <w:tc>
          <w:tcPr>
            <w:tcW w:w="3023" w:type="pct"/>
            <w:shd w:val="clear" w:color="auto" w:fill="auto"/>
            <w:vAlign w:val="center"/>
          </w:tcPr>
          <w:p w14:paraId="50E291A8" w14:textId="77777777" w:rsidR="004548FA" w:rsidRPr="001B5FFC" w:rsidRDefault="004548FA" w:rsidP="004548FA">
            <w:pPr>
              <w:pStyle w:val="ListParagraph"/>
              <w:numPr>
                <w:ilvl w:val="0"/>
                <w:numId w:val="4"/>
              </w:numPr>
              <w:spacing w:after="0" w:line="280" w:lineRule="exact"/>
              <w:ind w:left="523" w:hanging="450"/>
              <w:rPr>
                <w:rFonts w:ascii="Arial" w:eastAsia="Calibri" w:hAnsi="Arial" w:cs="Arial"/>
                <w:sz w:val="20"/>
                <w:szCs w:val="20"/>
              </w:rPr>
            </w:pPr>
            <w:r w:rsidRPr="001B5FFC">
              <w:rPr>
                <w:rFonts w:ascii="Arial" w:eastAsia="Calibri" w:hAnsi="Arial" w:cs="Arial"/>
                <w:sz w:val="20"/>
                <w:szCs w:val="20"/>
              </w:rPr>
              <w:t>Mechanisms for sustainable use of biodiversity</w:t>
            </w:r>
          </w:p>
        </w:tc>
        <w:tc>
          <w:tcPr>
            <w:tcW w:w="823" w:type="pct"/>
            <w:vAlign w:val="center"/>
          </w:tcPr>
          <w:p w14:paraId="1EFAC255" w14:textId="77777777" w:rsidR="004548FA" w:rsidRPr="0084246E"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0.1</w:t>
            </w:r>
          </w:p>
        </w:tc>
      </w:tr>
      <w:tr w:rsidR="002B78D2" w:rsidRPr="0084246E" w14:paraId="1D398F58" w14:textId="77777777" w:rsidTr="00CC6271">
        <w:trPr>
          <w:jc w:val="center"/>
        </w:trPr>
        <w:tc>
          <w:tcPr>
            <w:tcW w:w="1154" w:type="pct"/>
            <w:vMerge/>
            <w:vAlign w:val="center"/>
          </w:tcPr>
          <w:p w14:paraId="70EE3EDC" w14:textId="77777777" w:rsidR="004548FA" w:rsidRPr="0084246E" w:rsidRDefault="004548FA" w:rsidP="004548FA">
            <w:pPr>
              <w:spacing w:after="0" w:line="280" w:lineRule="exact"/>
              <w:rPr>
                <w:rFonts w:ascii="Arial" w:eastAsia="Calibri" w:hAnsi="Arial" w:cs="Arial"/>
                <w:sz w:val="20"/>
                <w:szCs w:val="20"/>
              </w:rPr>
            </w:pPr>
          </w:p>
        </w:tc>
        <w:tc>
          <w:tcPr>
            <w:tcW w:w="3023" w:type="pct"/>
            <w:shd w:val="clear" w:color="auto" w:fill="auto"/>
            <w:vAlign w:val="center"/>
          </w:tcPr>
          <w:p w14:paraId="7EEE6E16" w14:textId="77777777" w:rsidR="004548FA" w:rsidRPr="001B5FFC" w:rsidRDefault="004548FA" w:rsidP="004548FA">
            <w:pPr>
              <w:pStyle w:val="ListParagraph"/>
              <w:numPr>
                <w:ilvl w:val="0"/>
                <w:numId w:val="4"/>
              </w:numPr>
              <w:spacing w:after="0" w:line="280" w:lineRule="exact"/>
              <w:ind w:left="523" w:hanging="450"/>
              <w:rPr>
                <w:rFonts w:ascii="Arial" w:eastAsia="Calibri" w:hAnsi="Arial" w:cs="Arial"/>
                <w:sz w:val="20"/>
                <w:szCs w:val="20"/>
              </w:rPr>
            </w:pPr>
            <w:r w:rsidRPr="001B5FFC">
              <w:rPr>
                <w:rFonts w:ascii="Arial" w:eastAsia="Calibri" w:hAnsi="Arial" w:cs="Arial"/>
                <w:sz w:val="20"/>
                <w:szCs w:val="20"/>
              </w:rPr>
              <w:t>Promotion of traditional sustainable uses</w:t>
            </w:r>
          </w:p>
        </w:tc>
        <w:tc>
          <w:tcPr>
            <w:tcW w:w="823" w:type="pct"/>
            <w:vAlign w:val="center"/>
          </w:tcPr>
          <w:p w14:paraId="1C023F0D" w14:textId="77777777" w:rsidR="004548FA" w:rsidRPr="0084246E"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0.1</w:t>
            </w:r>
          </w:p>
        </w:tc>
      </w:tr>
      <w:tr w:rsidR="004548FA" w:rsidRPr="0084246E" w14:paraId="49E5D2BE" w14:textId="77777777" w:rsidTr="00CC6271">
        <w:trPr>
          <w:jc w:val="center"/>
        </w:trPr>
        <w:tc>
          <w:tcPr>
            <w:tcW w:w="1154" w:type="pct"/>
            <w:vMerge w:val="restart"/>
            <w:vAlign w:val="center"/>
          </w:tcPr>
          <w:p w14:paraId="443CF098" w14:textId="77777777" w:rsidR="004548FA" w:rsidRPr="0084246E" w:rsidRDefault="004548FA" w:rsidP="004548FA">
            <w:pPr>
              <w:spacing w:after="0" w:line="280" w:lineRule="exact"/>
              <w:rPr>
                <w:rFonts w:ascii="Arial" w:eastAsia="Calibri" w:hAnsi="Arial" w:cs="Arial"/>
                <w:sz w:val="20"/>
                <w:szCs w:val="20"/>
              </w:rPr>
            </w:pPr>
            <w:r>
              <w:rPr>
                <w:rFonts w:ascii="Arial" w:eastAsia="Calibri" w:hAnsi="Arial" w:cs="Arial"/>
                <w:sz w:val="20"/>
                <w:szCs w:val="20"/>
              </w:rPr>
              <w:t>Agrobiodiversity</w:t>
            </w:r>
          </w:p>
        </w:tc>
        <w:tc>
          <w:tcPr>
            <w:tcW w:w="3023" w:type="pct"/>
            <w:shd w:val="clear" w:color="auto" w:fill="auto"/>
            <w:vAlign w:val="center"/>
          </w:tcPr>
          <w:p w14:paraId="70E6D7F3" w14:textId="77777777" w:rsidR="004548FA" w:rsidRPr="001B5FFC" w:rsidRDefault="004548FA" w:rsidP="004548FA">
            <w:pPr>
              <w:pStyle w:val="ListParagraph"/>
              <w:numPr>
                <w:ilvl w:val="0"/>
                <w:numId w:val="4"/>
              </w:numPr>
              <w:spacing w:after="0" w:line="280" w:lineRule="exact"/>
              <w:ind w:left="523" w:hanging="450"/>
              <w:rPr>
                <w:rFonts w:ascii="Arial" w:eastAsia="Calibri" w:hAnsi="Arial" w:cs="Arial"/>
                <w:sz w:val="20"/>
                <w:szCs w:val="20"/>
              </w:rPr>
            </w:pPr>
            <w:r w:rsidRPr="001B5FFC">
              <w:rPr>
                <w:rFonts w:ascii="Arial" w:eastAsia="Calibri" w:hAnsi="Arial" w:cs="Arial"/>
                <w:sz w:val="20"/>
                <w:szCs w:val="20"/>
              </w:rPr>
              <w:t xml:space="preserve">Promotion of sustainable agriculture practices </w:t>
            </w:r>
          </w:p>
        </w:tc>
        <w:tc>
          <w:tcPr>
            <w:tcW w:w="823" w:type="pct"/>
            <w:vAlign w:val="center"/>
          </w:tcPr>
          <w:p w14:paraId="62F77239" w14:textId="77777777" w:rsidR="004548FA" w:rsidRPr="0084246E"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1.9</w:t>
            </w:r>
          </w:p>
        </w:tc>
      </w:tr>
      <w:tr w:rsidR="004548FA" w:rsidRPr="0084246E" w14:paraId="15BB5FA9" w14:textId="77777777" w:rsidTr="00CC6271">
        <w:trPr>
          <w:jc w:val="center"/>
        </w:trPr>
        <w:tc>
          <w:tcPr>
            <w:tcW w:w="1154" w:type="pct"/>
            <w:vMerge/>
            <w:vAlign w:val="center"/>
          </w:tcPr>
          <w:p w14:paraId="10D29B4B" w14:textId="77777777" w:rsidR="004548FA" w:rsidRPr="0084246E" w:rsidRDefault="004548FA" w:rsidP="004548FA">
            <w:pPr>
              <w:spacing w:after="0" w:line="280" w:lineRule="exact"/>
              <w:rPr>
                <w:rFonts w:ascii="Arial" w:eastAsia="Calibri" w:hAnsi="Arial" w:cs="Arial"/>
                <w:sz w:val="20"/>
                <w:szCs w:val="20"/>
              </w:rPr>
            </w:pPr>
          </w:p>
        </w:tc>
        <w:tc>
          <w:tcPr>
            <w:tcW w:w="3023" w:type="pct"/>
            <w:shd w:val="clear" w:color="auto" w:fill="auto"/>
            <w:vAlign w:val="center"/>
          </w:tcPr>
          <w:p w14:paraId="7A9C3EAB" w14:textId="77777777" w:rsidR="004548FA" w:rsidRPr="001B5FFC" w:rsidRDefault="004548FA" w:rsidP="004548FA">
            <w:pPr>
              <w:pStyle w:val="ListParagraph"/>
              <w:numPr>
                <w:ilvl w:val="0"/>
                <w:numId w:val="4"/>
              </w:numPr>
              <w:spacing w:after="0" w:line="280" w:lineRule="exact"/>
              <w:ind w:left="523" w:hanging="450"/>
              <w:rPr>
                <w:rFonts w:ascii="Arial" w:eastAsia="Calibri" w:hAnsi="Arial" w:cs="Arial"/>
                <w:sz w:val="20"/>
                <w:szCs w:val="20"/>
              </w:rPr>
            </w:pPr>
            <w:r w:rsidRPr="001B5FFC">
              <w:rPr>
                <w:rFonts w:ascii="Arial" w:eastAsia="Calibri" w:hAnsi="Arial" w:cs="Arial"/>
                <w:sz w:val="20"/>
                <w:szCs w:val="20"/>
              </w:rPr>
              <w:t xml:space="preserve">Conservation of genetic diversity </w:t>
            </w:r>
          </w:p>
        </w:tc>
        <w:tc>
          <w:tcPr>
            <w:tcW w:w="823" w:type="pct"/>
            <w:vAlign w:val="center"/>
          </w:tcPr>
          <w:p w14:paraId="571D2FB0" w14:textId="77777777" w:rsidR="004548FA" w:rsidRPr="0084246E"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5.1</w:t>
            </w:r>
          </w:p>
        </w:tc>
      </w:tr>
      <w:tr w:rsidR="002B78D2" w:rsidRPr="0084246E" w14:paraId="64D60F26" w14:textId="77777777" w:rsidTr="00CC6271">
        <w:trPr>
          <w:jc w:val="center"/>
        </w:trPr>
        <w:tc>
          <w:tcPr>
            <w:tcW w:w="1154" w:type="pct"/>
            <w:vAlign w:val="center"/>
          </w:tcPr>
          <w:p w14:paraId="50519F60" w14:textId="77777777" w:rsidR="00913804" w:rsidRPr="0084246E" w:rsidRDefault="004548FA" w:rsidP="004548FA">
            <w:pPr>
              <w:spacing w:after="0" w:line="280" w:lineRule="exact"/>
              <w:rPr>
                <w:rFonts w:ascii="Arial" w:eastAsia="Calibri" w:hAnsi="Arial" w:cs="Arial"/>
                <w:sz w:val="20"/>
                <w:szCs w:val="20"/>
              </w:rPr>
            </w:pPr>
            <w:r>
              <w:rPr>
                <w:rFonts w:ascii="Arial" w:eastAsia="Calibri" w:hAnsi="Arial" w:cs="Arial"/>
                <w:sz w:val="20"/>
                <w:szCs w:val="20"/>
              </w:rPr>
              <w:t>Equitable sharing</w:t>
            </w:r>
          </w:p>
        </w:tc>
        <w:tc>
          <w:tcPr>
            <w:tcW w:w="3023" w:type="pct"/>
            <w:shd w:val="clear" w:color="auto" w:fill="auto"/>
            <w:vAlign w:val="center"/>
          </w:tcPr>
          <w:p w14:paraId="665BFC91" w14:textId="77777777" w:rsidR="00913804" w:rsidRPr="001B5FFC" w:rsidRDefault="00136925" w:rsidP="004548FA">
            <w:pPr>
              <w:pStyle w:val="ListParagraph"/>
              <w:numPr>
                <w:ilvl w:val="0"/>
                <w:numId w:val="4"/>
              </w:numPr>
              <w:spacing w:after="0" w:line="280" w:lineRule="exact"/>
              <w:ind w:left="523" w:hanging="450"/>
              <w:rPr>
                <w:rFonts w:ascii="Arial" w:eastAsia="Calibri" w:hAnsi="Arial" w:cs="Arial"/>
                <w:sz w:val="20"/>
                <w:szCs w:val="20"/>
              </w:rPr>
            </w:pPr>
            <w:r w:rsidRPr="001B5FFC">
              <w:rPr>
                <w:rFonts w:ascii="Arial" w:eastAsia="Calibri" w:hAnsi="Arial" w:cs="Arial"/>
                <w:sz w:val="20"/>
                <w:szCs w:val="20"/>
              </w:rPr>
              <w:t>Mechanisms for</w:t>
            </w:r>
            <w:r w:rsidR="00913804" w:rsidRPr="001B5FFC">
              <w:rPr>
                <w:rFonts w:ascii="Arial" w:eastAsia="Calibri" w:hAnsi="Arial" w:cs="Arial"/>
                <w:sz w:val="20"/>
                <w:szCs w:val="20"/>
              </w:rPr>
              <w:t xml:space="preserve"> equitable </w:t>
            </w:r>
            <w:r w:rsidRPr="001B5FFC">
              <w:rPr>
                <w:rFonts w:ascii="Arial" w:eastAsia="Calibri" w:hAnsi="Arial" w:cs="Arial"/>
                <w:sz w:val="20"/>
                <w:szCs w:val="20"/>
              </w:rPr>
              <w:t xml:space="preserve">benefit </w:t>
            </w:r>
            <w:r w:rsidR="00913804" w:rsidRPr="001B5FFC">
              <w:rPr>
                <w:rFonts w:ascii="Arial" w:eastAsia="Calibri" w:hAnsi="Arial" w:cs="Arial"/>
                <w:sz w:val="20"/>
                <w:szCs w:val="20"/>
              </w:rPr>
              <w:t xml:space="preserve">sharing </w:t>
            </w:r>
          </w:p>
        </w:tc>
        <w:tc>
          <w:tcPr>
            <w:tcW w:w="823" w:type="pct"/>
            <w:vAlign w:val="center"/>
          </w:tcPr>
          <w:p w14:paraId="71F52695" w14:textId="77777777" w:rsidR="00913804" w:rsidRPr="0084246E"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0.1</w:t>
            </w:r>
          </w:p>
        </w:tc>
      </w:tr>
      <w:tr w:rsidR="004548FA" w:rsidRPr="0084246E" w14:paraId="6A8B91D5" w14:textId="77777777" w:rsidTr="00CC6271">
        <w:trPr>
          <w:jc w:val="center"/>
        </w:trPr>
        <w:tc>
          <w:tcPr>
            <w:tcW w:w="1154" w:type="pct"/>
            <w:vMerge w:val="restart"/>
            <w:vAlign w:val="center"/>
          </w:tcPr>
          <w:p w14:paraId="031009BD" w14:textId="77777777" w:rsidR="004548FA" w:rsidRPr="0084246E" w:rsidRDefault="004548FA" w:rsidP="004548FA">
            <w:pPr>
              <w:spacing w:after="0" w:line="280" w:lineRule="exact"/>
              <w:rPr>
                <w:rFonts w:ascii="Arial" w:eastAsia="Calibri" w:hAnsi="Arial" w:cs="Arial"/>
                <w:sz w:val="20"/>
                <w:szCs w:val="20"/>
              </w:rPr>
            </w:pPr>
            <w:r>
              <w:rPr>
                <w:rFonts w:ascii="Arial" w:eastAsia="Calibri" w:hAnsi="Arial" w:cs="Arial"/>
                <w:sz w:val="20"/>
                <w:szCs w:val="20"/>
              </w:rPr>
              <w:t>Well-being</w:t>
            </w:r>
          </w:p>
        </w:tc>
        <w:tc>
          <w:tcPr>
            <w:tcW w:w="3023" w:type="pct"/>
            <w:shd w:val="clear" w:color="auto" w:fill="auto"/>
            <w:vAlign w:val="center"/>
          </w:tcPr>
          <w:p w14:paraId="19523E7A" w14:textId="77777777" w:rsidR="004548FA" w:rsidRPr="001B5FFC" w:rsidRDefault="004548FA" w:rsidP="004548FA">
            <w:pPr>
              <w:pStyle w:val="ListParagraph"/>
              <w:numPr>
                <w:ilvl w:val="0"/>
                <w:numId w:val="4"/>
              </w:numPr>
              <w:spacing w:after="0" w:line="280" w:lineRule="exact"/>
              <w:ind w:left="523" w:hanging="450"/>
              <w:rPr>
                <w:rFonts w:ascii="Arial" w:eastAsia="Calibri" w:hAnsi="Arial" w:cs="Arial"/>
                <w:sz w:val="20"/>
                <w:szCs w:val="20"/>
              </w:rPr>
            </w:pPr>
            <w:r w:rsidRPr="001B5FFC">
              <w:rPr>
                <w:rFonts w:ascii="Arial" w:eastAsia="Calibri" w:hAnsi="Arial" w:cs="Arial"/>
                <w:sz w:val="20"/>
                <w:szCs w:val="20"/>
              </w:rPr>
              <w:t xml:space="preserve">Enhancing ecosystems capacity </w:t>
            </w:r>
          </w:p>
        </w:tc>
        <w:tc>
          <w:tcPr>
            <w:tcW w:w="823" w:type="pct"/>
            <w:vAlign w:val="center"/>
          </w:tcPr>
          <w:p w14:paraId="03338540" w14:textId="77777777" w:rsidR="004548FA" w:rsidRPr="0084246E"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6.0</w:t>
            </w:r>
          </w:p>
        </w:tc>
      </w:tr>
      <w:tr w:rsidR="004548FA" w:rsidRPr="0084246E" w14:paraId="5FB83746" w14:textId="77777777" w:rsidTr="00CC6271">
        <w:trPr>
          <w:jc w:val="center"/>
        </w:trPr>
        <w:tc>
          <w:tcPr>
            <w:tcW w:w="1154" w:type="pct"/>
            <w:vMerge/>
            <w:tcBorders>
              <w:bottom w:val="single" w:sz="4" w:space="0" w:color="auto"/>
            </w:tcBorders>
            <w:vAlign w:val="center"/>
          </w:tcPr>
          <w:p w14:paraId="07669152" w14:textId="77777777" w:rsidR="004548FA" w:rsidRPr="0084246E" w:rsidRDefault="004548FA" w:rsidP="004548FA">
            <w:pPr>
              <w:spacing w:after="0" w:line="280" w:lineRule="exact"/>
              <w:rPr>
                <w:rFonts w:ascii="Arial" w:eastAsia="Calibri" w:hAnsi="Arial" w:cs="Arial"/>
                <w:sz w:val="20"/>
                <w:szCs w:val="20"/>
              </w:rPr>
            </w:pPr>
          </w:p>
        </w:tc>
        <w:tc>
          <w:tcPr>
            <w:tcW w:w="3023" w:type="pct"/>
            <w:tcBorders>
              <w:bottom w:val="single" w:sz="4" w:space="0" w:color="auto"/>
            </w:tcBorders>
            <w:shd w:val="clear" w:color="auto" w:fill="auto"/>
            <w:vAlign w:val="center"/>
          </w:tcPr>
          <w:p w14:paraId="04E1A15A" w14:textId="77777777" w:rsidR="004548FA" w:rsidRPr="001B5FFC" w:rsidRDefault="004548FA" w:rsidP="004548FA">
            <w:pPr>
              <w:pStyle w:val="ListParagraph"/>
              <w:numPr>
                <w:ilvl w:val="0"/>
                <w:numId w:val="4"/>
              </w:numPr>
              <w:spacing w:after="0" w:line="280" w:lineRule="exact"/>
              <w:ind w:left="523" w:hanging="450"/>
              <w:rPr>
                <w:rFonts w:ascii="Arial" w:eastAsia="Calibri" w:hAnsi="Arial" w:cs="Arial"/>
                <w:sz w:val="20"/>
                <w:szCs w:val="20"/>
              </w:rPr>
            </w:pPr>
            <w:r w:rsidRPr="001B5FFC">
              <w:rPr>
                <w:rFonts w:ascii="Arial" w:eastAsia="Calibri" w:hAnsi="Arial" w:cs="Arial"/>
                <w:sz w:val="20"/>
                <w:szCs w:val="20"/>
              </w:rPr>
              <w:t>Assuring biosafety</w:t>
            </w:r>
          </w:p>
        </w:tc>
        <w:tc>
          <w:tcPr>
            <w:tcW w:w="823" w:type="pct"/>
            <w:tcBorders>
              <w:bottom w:val="single" w:sz="4" w:space="0" w:color="auto"/>
            </w:tcBorders>
            <w:vAlign w:val="center"/>
          </w:tcPr>
          <w:p w14:paraId="5EF7B3C3" w14:textId="77777777" w:rsidR="004548FA" w:rsidRPr="0084246E"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0.2</w:t>
            </w:r>
          </w:p>
        </w:tc>
      </w:tr>
      <w:tr w:rsidR="002B78D2" w:rsidRPr="0084246E" w14:paraId="71FF6C17" w14:textId="77777777" w:rsidTr="00AE4DFC">
        <w:trPr>
          <w:trHeight w:val="512"/>
          <w:jc w:val="center"/>
        </w:trPr>
        <w:tc>
          <w:tcPr>
            <w:tcW w:w="4177" w:type="pct"/>
            <w:gridSpan w:val="2"/>
            <w:tcBorders>
              <w:bottom w:val="single" w:sz="4" w:space="0" w:color="auto"/>
            </w:tcBorders>
            <w:shd w:val="clear" w:color="auto" w:fill="auto"/>
            <w:vAlign w:val="center"/>
          </w:tcPr>
          <w:p w14:paraId="392D66CD" w14:textId="77777777" w:rsidR="002B78D2" w:rsidRPr="002B78D2" w:rsidRDefault="002B78D2" w:rsidP="002B78D2">
            <w:pPr>
              <w:spacing w:after="0" w:line="280" w:lineRule="exact"/>
              <w:rPr>
                <w:rFonts w:ascii="Arial" w:eastAsia="Calibri" w:hAnsi="Arial" w:cs="Arial"/>
                <w:sz w:val="20"/>
                <w:szCs w:val="20"/>
              </w:rPr>
            </w:pPr>
            <w:r>
              <w:rPr>
                <w:rFonts w:ascii="Arial" w:eastAsia="Calibri" w:hAnsi="Arial" w:cs="Arial"/>
                <w:sz w:val="20"/>
                <w:szCs w:val="20"/>
              </w:rPr>
              <w:t>Total cost of NBS</w:t>
            </w:r>
            <w:r w:rsidR="00125B4F">
              <w:rPr>
                <w:rFonts w:ascii="Arial" w:eastAsia="Calibri" w:hAnsi="Arial" w:cs="Arial"/>
                <w:sz w:val="20"/>
                <w:szCs w:val="20"/>
              </w:rPr>
              <w:t>AP implementation 2018-2024 (LKR</w:t>
            </w:r>
            <w:r>
              <w:rPr>
                <w:rFonts w:ascii="Arial" w:eastAsia="Calibri" w:hAnsi="Arial" w:cs="Arial"/>
                <w:sz w:val="20"/>
                <w:szCs w:val="20"/>
              </w:rPr>
              <w:t xml:space="preserve"> billion)</w:t>
            </w:r>
          </w:p>
        </w:tc>
        <w:tc>
          <w:tcPr>
            <w:tcW w:w="823" w:type="pct"/>
            <w:tcBorders>
              <w:bottom w:val="single" w:sz="4" w:space="0" w:color="auto"/>
            </w:tcBorders>
            <w:shd w:val="clear" w:color="auto" w:fill="auto"/>
            <w:vAlign w:val="center"/>
          </w:tcPr>
          <w:p w14:paraId="1DCD8F4E" w14:textId="77777777" w:rsidR="002B78D2" w:rsidRDefault="002B78D2" w:rsidP="002B78D2">
            <w:pPr>
              <w:spacing w:after="0" w:line="280" w:lineRule="exact"/>
              <w:jc w:val="right"/>
              <w:rPr>
                <w:rFonts w:ascii="Arial" w:eastAsia="Calibri" w:hAnsi="Arial" w:cs="Arial"/>
                <w:sz w:val="20"/>
                <w:szCs w:val="20"/>
              </w:rPr>
            </w:pPr>
            <w:r>
              <w:rPr>
                <w:rFonts w:ascii="Arial" w:eastAsia="Calibri" w:hAnsi="Arial" w:cs="Arial"/>
                <w:sz w:val="20"/>
                <w:szCs w:val="20"/>
              </w:rPr>
              <w:t>13.4</w:t>
            </w:r>
          </w:p>
        </w:tc>
      </w:tr>
    </w:tbl>
    <w:p w14:paraId="6EE29681" w14:textId="77777777" w:rsidR="00913804" w:rsidRDefault="00913804" w:rsidP="00437B03">
      <w:pPr>
        <w:jc w:val="both"/>
      </w:pPr>
    </w:p>
    <w:p w14:paraId="05B4BF4A" w14:textId="77777777" w:rsidR="00AA4F3F" w:rsidRDefault="00735E7B" w:rsidP="00437B03">
      <w:pPr>
        <w:jc w:val="both"/>
      </w:pPr>
      <w:r>
        <w:t xml:space="preserve">Sri Lanka’s national priorities and strategies are represented by the objectives, actions and targets set out in the above national biodiversity-related plans. </w:t>
      </w:r>
      <w:r w:rsidR="00710A44">
        <w:t>The BFP is expected to address the financial needs of the NBSAP and other national strategic plans.</w:t>
      </w:r>
    </w:p>
    <w:p w14:paraId="021B2712" w14:textId="77777777" w:rsidR="00710A44" w:rsidRDefault="002227D1" w:rsidP="00437B03">
      <w:pPr>
        <w:jc w:val="both"/>
      </w:pPr>
      <w:r>
        <w:t xml:space="preserve">The vision of the BFP is directly linked, among the Sustainable Development Goals (SDGs), to Goal 13:  </w:t>
      </w:r>
      <w:r w:rsidRPr="002227D1">
        <w:t>Climate Action</w:t>
      </w:r>
      <w:r>
        <w:t>, Goal 14: Life b</w:t>
      </w:r>
      <w:r w:rsidRPr="002227D1">
        <w:t>elow Water</w:t>
      </w:r>
      <w:r>
        <w:t xml:space="preserve"> and, Goal 15: </w:t>
      </w:r>
      <w:r w:rsidRPr="002227D1">
        <w:t>Life on Land</w:t>
      </w:r>
      <w:r>
        <w:t xml:space="preserve">. They are indirectly linked to </w:t>
      </w:r>
      <w:r w:rsidR="005770EC">
        <w:t xml:space="preserve">many other SDGs such as </w:t>
      </w:r>
      <w:r w:rsidR="005770EC" w:rsidRPr="005770EC">
        <w:t>Goal 6: Clean Water and Sanitation</w:t>
      </w:r>
      <w:r w:rsidR="005770EC">
        <w:t xml:space="preserve">, </w:t>
      </w:r>
      <w:r w:rsidR="005770EC" w:rsidRPr="005770EC">
        <w:t>Goal 11: Sustainable Cities and Communities</w:t>
      </w:r>
      <w:r w:rsidR="005770EC">
        <w:t xml:space="preserve"> and, </w:t>
      </w:r>
      <w:r w:rsidR="005770EC" w:rsidRPr="005770EC">
        <w:t>Goal 12: Responsible Consumption and Production</w:t>
      </w:r>
      <w:r w:rsidR="005770EC">
        <w:t xml:space="preserve">. </w:t>
      </w:r>
    </w:p>
    <w:p w14:paraId="66B67EF4" w14:textId="77777777" w:rsidR="00880054" w:rsidRDefault="00880054" w:rsidP="00437B03">
      <w:pPr>
        <w:jc w:val="both"/>
      </w:pPr>
    </w:p>
    <w:p w14:paraId="45447B6F" w14:textId="77777777" w:rsidR="009C478C" w:rsidRDefault="009C478C" w:rsidP="00437B03">
      <w:pPr>
        <w:jc w:val="both"/>
      </w:pPr>
    </w:p>
    <w:p w14:paraId="6F402C6F" w14:textId="77777777" w:rsidR="009C478C" w:rsidRDefault="009C478C" w:rsidP="00437B03">
      <w:pPr>
        <w:jc w:val="both"/>
      </w:pPr>
    </w:p>
    <w:p w14:paraId="0231574D" w14:textId="77777777" w:rsidR="004B00A2" w:rsidRPr="00880054" w:rsidRDefault="00CB4EEE" w:rsidP="008B7E9D">
      <w:pPr>
        <w:pStyle w:val="Heading3"/>
      </w:pPr>
      <w:bookmarkStart w:id="11" w:name="_Toc526876302"/>
      <w:r>
        <w:t xml:space="preserve">Branding Sri Lanka: Investing in </w:t>
      </w:r>
      <w:r w:rsidR="004F654B" w:rsidRPr="00880054">
        <w:t>Biodiversity as a Business Case</w:t>
      </w:r>
      <w:bookmarkEnd w:id="11"/>
    </w:p>
    <w:p w14:paraId="39EEC45E" w14:textId="02D3384A" w:rsidR="00E918C3" w:rsidRDefault="00CE3754" w:rsidP="00437B03">
      <w:pPr>
        <w:jc w:val="both"/>
      </w:pPr>
      <w:r>
        <w:t xml:space="preserve">Investing in biodiversity for its conservation and sustainable use is no longer </w:t>
      </w:r>
      <w:r w:rsidR="000463CB">
        <w:t xml:space="preserve">considered </w:t>
      </w:r>
      <w:r>
        <w:t>an additional cost driver for the government</w:t>
      </w:r>
      <w:r w:rsidR="00E918C3">
        <w:t>’s fiscal operations</w:t>
      </w:r>
      <w:r>
        <w:t>, the corporate sector</w:t>
      </w:r>
      <w:r w:rsidR="00E918C3">
        <w:t>’s</w:t>
      </w:r>
      <w:r>
        <w:t xml:space="preserve"> </w:t>
      </w:r>
      <w:r w:rsidR="00E918C3">
        <w:t xml:space="preserve">core businesses </w:t>
      </w:r>
      <w:r>
        <w:t>and, the community</w:t>
      </w:r>
      <w:r w:rsidR="00E918C3">
        <w:t>’s sustainability</w:t>
      </w:r>
      <w:r>
        <w:t xml:space="preserve">. </w:t>
      </w:r>
      <w:r w:rsidR="00E918C3">
        <w:t>There is a short-term and long-term flow of returns for investment in biodiversity. The</w:t>
      </w:r>
      <w:r w:rsidR="000C79AC">
        <w:t xml:space="preserve"> proposed finance solutions constitute </w:t>
      </w:r>
      <w:r w:rsidR="00E918C3">
        <w:t xml:space="preserve">a business case for </w:t>
      </w:r>
      <w:r w:rsidR="000C79AC">
        <w:t>an “investment for a return</w:t>
      </w:r>
      <w:r w:rsidR="00E918C3">
        <w:t>” by enhancing the “brand name” of the nation.</w:t>
      </w:r>
      <w:r w:rsidR="000C79AC">
        <w:t xml:space="preserve"> </w:t>
      </w:r>
    </w:p>
    <w:p w14:paraId="17F0281D" w14:textId="77777777" w:rsidR="000463CB" w:rsidRDefault="000463CB" w:rsidP="00437B03">
      <w:pPr>
        <w:jc w:val="both"/>
      </w:pPr>
      <w:r>
        <w:t>Th</w:t>
      </w:r>
      <w:r w:rsidR="00E918C3">
        <w:t>e</w:t>
      </w:r>
      <w:r>
        <w:t xml:space="preserve"> investment </w:t>
      </w:r>
      <w:r w:rsidR="00E918C3">
        <w:t xml:space="preserve">in biodiversity </w:t>
      </w:r>
      <w:r>
        <w:t xml:space="preserve">can be viewed </w:t>
      </w:r>
      <w:r w:rsidR="00E918C3">
        <w:t>from</w:t>
      </w:r>
      <w:r>
        <w:t xml:space="preserve"> different perspectives </w:t>
      </w:r>
      <w:r w:rsidR="00E918C3">
        <w:t>to elaborate its flow of returns to stakeholders from different sectors</w:t>
      </w:r>
      <w:r w:rsidR="00184101">
        <w:t xml:space="preserve"> as follows: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35"/>
        <w:gridCol w:w="7582"/>
      </w:tblGrid>
      <w:tr w:rsidR="00AE4DFC" w14:paraId="239F5AD2" w14:textId="77777777" w:rsidTr="00184101">
        <w:trPr>
          <w:trHeight w:val="620"/>
        </w:trPr>
        <w:tc>
          <w:tcPr>
            <w:tcW w:w="1435" w:type="dxa"/>
            <w:vAlign w:val="center"/>
          </w:tcPr>
          <w:p w14:paraId="6111CEBD" w14:textId="77777777" w:rsidR="00AE4DFC" w:rsidRDefault="00AE4DFC" w:rsidP="00EB274E">
            <w:r>
              <w:t>Stakeholder</w:t>
            </w:r>
          </w:p>
        </w:tc>
        <w:tc>
          <w:tcPr>
            <w:tcW w:w="7582" w:type="dxa"/>
            <w:vAlign w:val="center"/>
          </w:tcPr>
          <w:p w14:paraId="03350221" w14:textId="77777777" w:rsidR="00AE4DFC" w:rsidRDefault="00AE4DFC" w:rsidP="00AE4DFC">
            <w:pPr>
              <w:jc w:val="center"/>
            </w:pPr>
            <w:r>
              <w:t>Business perspective</w:t>
            </w:r>
          </w:p>
        </w:tc>
      </w:tr>
      <w:tr w:rsidR="00EB274E" w14:paraId="67A4B438" w14:textId="77777777" w:rsidTr="009C478C">
        <w:trPr>
          <w:trHeight w:val="2582"/>
        </w:trPr>
        <w:tc>
          <w:tcPr>
            <w:tcW w:w="1435" w:type="dxa"/>
            <w:vAlign w:val="center"/>
          </w:tcPr>
          <w:p w14:paraId="336BF1ED" w14:textId="77777777" w:rsidR="00EB274E" w:rsidRDefault="00EB274E" w:rsidP="00EB274E">
            <w:r>
              <w:t>For the Government</w:t>
            </w:r>
          </w:p>
        </w:tc>
        <w:tc>
          <w:tcPr>
            <w:tcW w:w="7582" w:type="dxa"/>
            <w:vAlign w:val="center"/>
          </w:tcPr>
          <w:p w14:paraId="4F2CCE17" w14:textId="77777777" w:rsidR="000C1A84" w:rsidRDefault="000C1A84" w:rsidP="00184101">
            <w:pPr>
              <w:jc w:val="both"/>
            </w:pPr>
          </w:p>
          <w:p w14:paraId="04EB1CA7" w14:textId="6CB30088" w:rsidR="00EB274E" w:rsidRDefault="00EB274E" w:rsidP="00184101">
            <w:pPr>
              <w:jc w:val="both"/>
            </w:pPr>
            <w:r w:rsidRPr="00EB274E">
              <w:t xml:space="preserve">For the government, enhanced investment in biodiversity means bridging the gap between desirability and feasibility. Apart from the international commitments made by the successive governments of Sri Lanka, there has been unilateral policy initiatives on enhanced spending on biodiversity as emphasized in the national and sectoral policy documents. </w:t>
            </w:r>
            <w:r w:rsidR="00443681">
              <w:t>Traditionally constrained by a</w:t>
            </w:r>
            <w:r w:rsidRPr="00EB274E">
              <w:t xml:space="preserve"> narrow fiscal space, often such national commitments were </w:t>
            </w:r>
            <w:r w:rsidR="00443681">
              <w:t xml:space="preserve">prevented from </w:t>
            </w:r>
            <w:r w:rsidRPr="00EB274E">
              <w:t>reaching their full potentials. Innovative and alternative mechanisms of enhanced biodiversity financing enable the government to ease its capacity constraint.</w:t>
            </w:r>
          </w:p>
          <w:p w14:paraId="4AB6F368" w14:textId="77777777" w:rsidR="000C1A84" w:rsidRDefault="000C1A84" w:rsidP="00184101">
            <w:pPr>
              <w:jc w:val="both"/>
            </w:pPr>
          </w:p>
        </w:tc>
      </w:tr>
      <w:tr w:rsidR="00EB274E" w14:paraId="393F6D33" w14:textId="77777777" w:rsidTr="00EB274E">
        <w:tc>
          <w:tcPr>
            <w:tcW w:w="1435" w:type="dxa"/>
            <w:vAlign w:val="center"/>
          </w:tcPr>
          <w:p w14:paraId="34A2C793" w14:textId="77777777" w:rsidR="00EB274E" w:rsidRDefault="00EB274E" w:rsidP="00EB274E">
            <w:r>
              <w:t>For the Corporate sector</w:t>
            </w:r>
          </w:p>
        </w:tc>
        <w:tc>
          <w:tcPr>
            <w:tcW w:w="7582" w:type="dxa"/>
            <w:vAlign w:val="center"/>
          </w:tcPr>
          <w:p w14:paraId="63CF1636" w14:textId="77777777" w:rsidR="000C1A84" w:rsidRDefault="000C1A84" w:rsidP="00184101">
            <w:pPr>
              <w:jc w:val="both"/>
            </w:pPr>
          </w:p>
          <w:p w14:paraId="1A93FE38" w14:textId="27F47A71" w:rsidR="00EB274E" w:rsidRDefault="00EB274E" w:rsidP="00184101">
            <w:pPr>
              <w:jc w:val="both"/>
            </w:pPr>
            <w:r w:rsidRPr="00EB274E">
              <w:t>For the corporate sector, enhanced investment in biodiversity means improving their competitiveness. Investment in biodiversity has been increasingly an integral part of core business of the corporate sector in many ways. It is a value addition to their products which enhances product quality, market value, social appreciation and, global reputation. It enabled the business sector to comply with international environmental standards and to improve the competitive market access. It expands and strengthens the long-term cost advantage and business sustainability.</w:t>
            </w:r>
          </w:p>
          <w:p w14:paraId="3A8C73B3" w14:textId="77777777" w:rsidR="000C1A84" w:rsidRDefault="000C1A84" w:rsidP="00184101">
            <w:pPr>
              <w:jc w:val="both"/>
            </w:pPr>
          </w:p>
        </w:tc>
      </w:tr>
      <w:tr w:rsidR="00EB274E" w14:paraId="6987FEDA" w14:textId="77777777" w:rsidTr="00EB274E">
        <w:tc>
          <w:tcPr>
            <w:tcW w:w="1435" w:type="dxa"/>
            <w:vAlign w:val="center"/>
          </w:tcPr>
          <w:p w14:paraId="514D08D4" w14:textId="77777777" w:rsidR="00EB274E" w:rsidRDefault="00EB274E" w:rsidP="00EB274E">
            <w:r>
              <w:t>For the Community</w:t>
            </w:r>
          </w:p>
        </w:tc>
        <w:tc>
          <w:tcPr>
            <w:tcW w:w="7582" w:type="dxa"/>
            <w:vAlign w:val="center"/>
          </w:tcPr>
          <w:p w14:paraId="13589BEA" w14:textId="77777777" w:rsidR="000C1A84" w:rsidRDefault="000C1A84" w:rsidP="00184101">
            <w:pPr>
              <w:jc w:val="both"/>
            </w:pPr>
          </w:p>
          <w:p w14:paraId="49620CE4" w14:textId="2705DABD" w:rsidR="00EB274E" w:rsidRDefault="00EB274E" w:rsidP="00184101">
            <w:pPr>
              <w:jc w:val="both"/>
            </w:pPr>
            <w:r w:rsidRPr="00EB274E">
              <w:t>For the community, investing in biodiversity means enhancing people’s access to pleasant living and healthy life for themselves as well as for their children and children’s children. Biodiversity provides the community with clean air to breath, fresh water to drink, healthy food to eat and, unspoiled environment to live. Investing in biodiversity allows people to enjoy their pleasant living and healthy life by conserving and sharing nature.</w:t>
            </w:r>
          </w:p>
          <w:p w14:paraId="51955919" w14:textId="77777777" w:rsidR="000C1A84" w:rsidRDefault="000C1A84" w:rsidP="00184101">
            <w:pPr>
              <w:jc w:val="both"/>
            </w:pPr>
          </w:p>
        </w:tc>
      </w:tr>
      <w:tr w:rsidR="00EB274E" w14:paraId="6F9B9958" w14:textId="77777777" w:rsidTr="00EB274E">
        <w:tc>
          <w:tcPr>
            <w:tcW w:w="1435" w:type="dxa"/>
            <w:vAlign w:val="center"/>
          </w:tcPr>
          <w:p w14:paraId="2148EB2E" w14:textId="77777777" w:rsidR="00EB274E" w:rsidRDefault="00EB274E" w:rsidP="00EB274E">
            <w:r>
              <w:t>For the Nation</w:t>
            </w:r>
          </w:p>
        </w:tc>
        <w:tc>
          <w:tcPr>
            <w:tcW w:w="7582" w:type="dxa"/>
            <w:vAlign w:val="center"/>
          </w:tcPr>
          <w:p w14:paraId="05731277" w14:textId="77777777" w:rsidR="000C1A84" w:rsidRDefault="000C1A84" w:rsidP="00184101">
            <w:pPr>
              <w:jc w:val="both"/>
            </w:pPr>
          </w:p>
          <w:p w14:paraId="2A980F09" w14:textId="2C7E3BD8" w:rsidR="00EB274E" w:rsidRDefault="00EB274E" w:rsidP="00184101">
            <w:pPr>
              <w:jc w:val="both"/>
            </w:pPr>
            <w:r w:rsidRPr="00EB274E">
              <w:t xml:space="preserve">For the </w:t>
            </w:r>
            <w:proofErr w:type="gramStart"/>
            <w:r w:rsidRPr="00EB274E">
              <w:t>nation as a whole, investing</w:t>
            </w:r>
            <w:proofErr w:type="gramEnd"/>
            <w:r w:rsidRPr="00EB274E">
              <w:t xml:space="preserve"> in biodiversity means the formation of the stock of natural capital. Biodiversity of the country is part of the capital assets belong</w:t>
            </w:r>
            <w:r w:rsidR="006051CD">
              <w:t>ing</w:t>
            </w:r>
            <w:r w:rsidRPr="00EB274E">
              <w:t xml:space="preserve"> to </w:t>
            </w:r>
            <w:r w:rsidR="006051CD">
              <w:t>the</w:t>
            </w:r>
            <w:r w:rsidR="006051CD" w:rsidRPr="00EB274E">
              <w:t xml:space="preserve"> </w:t>
            </w:r>
            <w:r w:rsidRPr="00EB274E">
              <w:t xml:space="preserve">nation along with financial capital, physical capital, and human capital; overall stock of capital assets contributes to its wealth creation. Investing in biodiversity is </w:t>
            </w:r>
            <w:r w:rsidR="006051CD">
              <w:t xml:space="preserve">the </w:t>
            </w:r>
            <w:r w:rsidRPr="00EB274E">
              <w:t xml:space="preserve">nation’s effort to build natural capital and to compensate for its depreciation so that the </w:t>
            </w:r>
            <w:r>
              <w:t>nation’s prosperity</w:t>
            </w:r>
            <w:r w:rsidRPr="00EB274E">
              <w:t xml:space="preserve"> can be enhanced for the present and, sustained for the future.</w:t>
            </w:r>
          </w:p>
          <w:p w14:paraId="2685A1C4" w14:textId="77777777" w:rsidR="000C1A84" w:rsidRDefault="000C1A84" w:rsidP="00184101">
            <w:pPr>
              <w:jc w:val="both"/>
            </w:pPr>
          </w:p>
        </w:tc>
      </w:tr>
    </w:tbl>
    <w:p w14:paraId="3F56A733" w14:textId="3AAB5C8E" w:rsidR="00EB274E" w:rsidRDefault="00EB274E" w:rsidP="00437B03">
      <w:pPr>
        <w:jc w:val="both"/>
      </w:pPr>
    </w:p>
    <w:p w14:paraId="4A584407" w14:textId="54060FF4" w:rsidR="006976DA" w:rsidRDefault="00C62EEF" w:rsidP="00437B03">
      <w:pPr>
        <w:jc w:val="both"/>
      </w:pPr>
      <w:r>
        <w:t>The overall outcome of the BFP is, therefore, a national effort in enhancing the “brand name” of the country</w:t>
      </w:r>
      <w:r w:rsidR="00AC0D2A">
        <w:t>, by shifting away from the case of “business as usual” to a “business case” of investing in biodiversity</w:t>
      </w:r>
      <w:r>
        <w:t>.</w:t>
      </w:r>
      <w:r w:rsidR="00D66FDF">
        <w:t xml:space="preserve"> The BFP is designed to achieve this outcome by mobilizing resources with the participation of all major stakeholders</w:t>
      </w:r>
      <w:r w:rsidR="00AC0D2A">
        <w:t xml:space="preserve"> - the government, the corporate sector and, the community</w:t>
      </w:r>
      <w:r w:rsidR="00D66FDF">
        <w:t>.</w:t>
      </w:r>
    </w:p>
    <w:p w14:paraId="2CC9EF51" w14:textId="77777777" w:rsidR="00184101" w:rsidRDefault="00184101" w:rsidP="00437B03">
      <w:pPr>
        <w:jc w:val="both"/>
      </w:pPr>
    </w:p>
    <w:p w14:paraId="59EEAF12" w14:textId="77777777" w:rsidR="00F9668B" w:rsidRDefault="00A67D84" w:rsidP="008B7E9D">
      <w:pPr>
        <w:pStyle w:val="Heading2"/>
      </w:pPr>
      <w:bookmarkStart w:id="12" w:name="_Toc526876303"/>
      <w:r>
        <w:t xml:space="preserve">2. </w:t>
      </w:r>
      <w:r w:rsidR="00F9668B">
        <w:t>Goals</w:t>
      </w:r>
      <w:r w:rsidR="00343221">
        <w:t>, Objectives</w:t>
      </w:r>
      <w:r w:rsidR="00F9668B">
        <w:t xml:space="preserve"> and Targets</w:t>
      </w:r>
      <w:bookmarkEnd w:id="12"/>
    </w:p>
    <w:p w14:paraId="34BF2BAB" w14:textId="77777777" w:rsidR="007412E9" w:rsidRDefault="007412E9" w:rsidP="00437B03">
      <w:pPr>
        <w:jc w:val="both"/>
      </w:pPr>
    </w:p>
    <w:p w14:paraId="24FB08B4" w14:textId="77777777" w:rsidR="007412E9" w:rsidRDefault="007412E9" w:rsidP="008B7E9D">
      <w:pPr>
        <w:pStyle w:val="Heading3"/>
      </w:pPr>
      <w:bookmarkStart w:id="13" w:name="_Toc526876304"/>
      <w:r>
        <w:t>Goal</w:t>
      </w:r>
      <w:bookmarkEnd w:id="13"/>
    </w:p>
    <w:p w14:paraId="4D89A31A" w14:textId="6CD84960" w:rsidR="00F9668B" w:rsidRDefault="0044410D" w:rsidP="00437B03">
      <w:pPr>
        <w:jc w:val="both"/>
      </w:pPr>
      <w:r>
        <w:t xml:space="preserve">The goal of the BFP is to </w:t>
      </w:r>
      <w:r w:rsidR="00802620">
        <w:t xml:space="preserve">fill the biodiversity financing gap in Sri Lanka, thereby increasing </w:t>
      </w:r>
      <w:r>
        <w:t>invest</w:t>
      </w:r>
      <w:r w:rsidR="003155FD">
        <w:t>ment</w:t>
      </w:r>
      <w:r w:rsidR="00D57A29">
        <w:t xml:space="preserve"> in conserving biodiversity</w:t>
      </w:r>
      <w:r w:rsidR="00802620">
        <w:t xml:space="preserve"> and</w:t>
      </w:r>
      <w:r w:rsidR="00D57A29">
        <w:t xml:space="preserve"> </w:t>
      </w:r>
      <w:r>
        <w:t xml:space="preserve">promoting its </w:t>
      </w:r>
      <w:r w:rsidR="0065061B">
        <w:t>sustainable use</w:t>
      </w:r>
      <w:r w:rsidR="00802620">
        <w:t>.</w:t>
      </w:r>
      <w:r w:rsidR="006976DA">
        <w:t xml:space="preserve"> </w:t>
      </w:r>
    </w:p>
    <w:p w14:paraId="344301C0" w14:textId="69586ED0" w:rsidR="00507907" w:rsidRDefault="00F94E05" w:rsidP="00437B03">
      <w:pPr>
        <w:jc w:val="both"/>
      </w:pPr>
      <w:r>
        <w:t xml:space="preserve">The </w:t>
      </w:r>
      <w:r w:rsidR="003155FD">
        <w:t>finance solutions</w:t>
      </w:r>
      <w:r>
        <w:t xml:space="preserve"> are directed at addressing the finance gap </w:t>
      </w:r>
      <w:r w:rsidR="003155FD">
        <w:t xml:space="preserve">in </w:t>
      </w:r>
      <w:r>
        <w:t xml:space="preserve">spending on biodiversity-related activities. The gap is defined as the </w:t>
      </w:r>
      <w:r w:rsidR="005602CC">
        <w:t xml:space="preserve">difference between </w:t>
      </w:r>
      <w:r>
        <w:t>current spending by the nation on biodiversi</w:t>
      </w:r>
      <w:r w:rsidR="005602CC">
        <w:t>ty</w:t>
      </w:r>
      <w:r>
        <w:t xml:space="preserve"> and the required medium-term finance</w:t>
      </w:r>
      <w:r w:rsidR="005602CC">
        <w:t xml:space="preserve"> to achieve national biodiversity targets</w:t>
      </w:r>
      <w:r>
        <w:t>.</w:t>
      </w:r>
      <w:r w:rsidR="00737212">
        <w:t xml:space="preserve"> </w:t>
      </w:r>
      <w:r w:rsidR="00774388">
        <w:t>While “medium-term” is defined as seven years from 2018-2024, the national biodiversity targets are extracted from the NBSAP and other biodiversity-related national strategic plans.</w:t>
      </w:r>
    </w:p>
    <w:p w14:paraId="63C81A76" w14:textId="77777777" w:rsidR="008C3065" w:rsidRPr="008C3065" w:rsidRDefault="008C3065" w:rsidP="008B7E9D">
      <w:pPr>
        <w:pStyle w:val="Heading3"/>
      </w:pPr>
      <w:bookmarkStart w:id="14" w:name="_Toc526876305"/>
      <w:r w:rsidRPr="008C3065">
        <w:t>Objectives</w:t>
      </w:r>
      <w:bookmarkEnd w:id="14"/>
    </w:p>
    <w:p w14:paraId="0EAC020D" w14:textId="6D341400" w:rsidR="00AF7142" w:rsidRDefault="00737212" w:rsidP="00437B03">
      <w:pPr>
        <w:jc w:val="both"/>
      </w:pPr>
      <w:r>
        <w:t xml:space="preserve">Enhancement of finance </w:t>
      </w:r>
      <w:r w:rsidR="003155FD">
        <w:t xml:space="preserve">results of the BFP </w:t>
      </w:r>
      <w:r w:rsidR="00AF7142">
        <w:t>is expected:</w:t>
      </w:r>
    </w:p>
    <w:p w14:paraId="77D776C0" w14:textId="77777777" w:rsidR="00737212" w:rsidRDefault="00AF7142" w:rsidP="004721C8">
      <w:pPr>
        <w:pStyle w:val="ListParagraph"/>
        <w:numPr>
          <w:ilvl w:val="0"/>
          <w:numId w:val="6"/>
        </w:numPr>
        <w:jc w:val="both"/>
      </w:pPr>
      <w:r>
        <w:t>To</w:t>
      </w:r>
      <w:r w:rsidR="00737212">
        <w:t xml:space="preserve"> be based on generating new finances, re-aligning existing finances, avoiding future spending and, improving the delivery.</w:t>
      </w:r>
    </w:p>
    <w:p w14:paraId="1FF38F46" w14:textId="77777777" w:rsidR="00AF7142" w:rsidRDefault="00AF7142" w:rsidP="004721C8">
      <w:pPr>
        <w:pStyle w:val="ListParagraph"/>
        <w:numPr>
          <w:ilvl w:val="0"/>
          <w:numId w:val="6"/>
        </w:numPr>
        <w:jc w:val="both"/>
      </w:pPr>
      <w:r>
        <w:t xml:space="preserve">To </w:t>
      </w:r>
      <w:r w:rsidR="00220AA5">
        <w:t xml:space="preserve">be </w:t>
      </w:r>
      <w:r>
        <w:t>rel</w:t>
      </w:r>
      <w:r w:rsidR="00220AA5">
        <w:t>ied</w:t>
      </w:r>
      <w:r>
        <w:t xml:space="preserve"> on innovative sources of finance by all the sectors - the government, the private sector and, the community.</w:t>
      </w:r>
    </w:p>
    <w:p w14:paraId="5DCC3D14" w14:textId="77777777" w:rsidR="00220AA5" w:rsidRDefault="00683A0B" w:rsidP="004721C8">
      <w:pPr>
        <w:pStyle w:val="ListParagraph"/>
        <w:numPr>
          <w:ilvl w:val="0"/>
          <w:numId w:val="6"/>
        </w:numPr>
        <w:jc w:val="both"/>
      </w:pPr>
      <w:r>
        <w:t xml:space="preserve">To be ensured with a specific purpose of investing in biodiversity that would not </w:t>
      </w:r>
      <w:r w:rsidR="00F21058">
        <w:t xml:space="preserve">be </w:t>
      </w:r>
      <w:r>
        <w:t>affected by financial constraints elsewhere.</w:t>
      </w:r>
    </w:p>
    <w:p w14:paraId="7F50217F" w14:textId="77777777" w:rsidR="00B21EF1" w:rsidRDefault="00B21EF1" w:rsidP="00B21EF1">
      <w:pPr>
        <w:pStyle w:val="ListParagraph"/>
        <w:numPr>
          <w:ilvl w:val="0"/>
          <w:numId w:val="6"/>
        </w:numPr>
      </w:pPr>
      <w:r w:rsidRPr="00B21EF1">
        <w:t>To be promoted as an integral part of the development activities and core businesses of the stakeholders.</w:t>
      </w:r>
    </w:p>
    <w:p w14:paraId="4022014B" w14:textId="77777777" w:rsidR="00683A0B" w:rsidRDefault="00F21058" w:rsidP="004721C8">
      <w:pPr>
        <w:pStyle w:val="ListParagraph"/>
        <w:numPr>
          <w:ilvl w:val="0"/>
          <w:numId w:val="6"/>
        </w:numPr>
        <w:jc w:val="both"/>
      </w:pPr>
      <w:r>
        <w:t xml:space="preserve">To be sustained </w:t>
      </w:r>
      <w:r w:rsidR="00A94E60">
        <w:t xml:space="preserve">with established mechanisms </w:t>
      </w:r>
      <w:r>
        <w:t>beyond the medium-term plan horizon of seven years 2018-2024</w:t>
      </w:r>
      <w:r w:rsidR="00973A69">
        <w:t>.</w:t>
      </w:r>
    </w:p>
    <w:p w14:paraId="73987355" w14:textId="7F71CD8A" w:rsidR="00F9668B" w:rsidRDefault="008C3065" w:rsidP="00437B03">
      <w:pPr>
        <w:jc w:val="both"/>
      </w:pPr>
      <w:r>
        <w:t>Given the above goal and objectives</w:t>
      </w:r>
      <w:r w:rsidR="0065061B">
        <w:t xml:space="preserve">, the BFP is envisaged to make a significant contribution to the biodiversity financing needs of the country. The Plan is expected to address the limitations in current biodiversity financing by unveiling new sources of finance mobilization as well as improving efficiency and effectiveness in current </w:t>
      </w:r>
      <w:r w:rsidR="004C12B7">
        <w:t xml:space="preserve">financing mechanisms. </w:t>
      </w:r>
    </w:p>
    <w:p w14:paraId="3A8D82F5" w14:textId="77777777" w:rsidR="004C12B7" w:rsidRDefault="004C12B7" w:rsidP="00437B03">
      <w:pPr>
        <w:jc w:val="both"/>
      </w:pPr>
      <w:r>
        <w:t>The Plan is expected to widen the current financing sources beyond government’s budgetary allocations to cover the private sector and the community as well. It would contribute to reduce the fiscal burden of the government on the one hand and, to disclose even better opportunities for the private sector and the community to get involved in.</w:t>
      </w:r>
      <w:r w:rsidR="00432655">
        <w:t xml:space="preserve"> Given the narrow fiscal space of the government, perhaps spending in biodiversity is one of the areas where public spending comes easily under pressure. </w:t>
      </w:r>
      <w:r w:rsidR="00CA41F2">
        <w:t>The Plan envisaged the new avenues of finance</w:t>
      </w:r>
      <w:r w:rsidR="00432655">
        <w:t xml:space="preserve"> mobilization </w:t>
      </w:r>
      <w:r w:rsidR="00CA41F2">
        <w:t>which would be free from the pressure from financial constraints elsewhere and, to grow over time even beyond the plan horizon.</w:t>
      </w:r>
    </w:p>
    <w:p w14:paraId="7FB4F84E" w14:textId="77777777" w:rsidR="007412E9" w:rsidRDefault="007412E9" w:rsidP="008B7E9D">
      <w:pPr>
        <w:pStyle w:val="Heading3"/>
      </w:pPr>
      <w:bookmarkStart w:id="15" w:name="_Toc526876306"/>
      <w:r>
        <w:t>Targets</w:t>
      </w:r>
      <w:bookmarkEnd w:id="15"/>
    </w:p>
    <w:p w14:paraId="5CA6BCD9" w14:textId="29DBD754" w:rsidR="007412E9" w:rsidRDefault="004F2A84" w:rsidP="00437B03">
      <w:pPr>
        <w:jc w:val="both"/>
      </w:pPr>
      <w:r>
        <w:t xml:space="preserve">The BFP targets are </w:t>
      </w:r>
      <w:r w:rsidR="00800DF2">
        <w:t xml:space="preserve">set to be achieved </w:t>
      </w:r>
      <w:r w:rsidR="004A23A6">
        <w:t>during</w:t>
      </w:r>
      <w:r w:rsidR="00800DF2">
        <w:t xml:space="preserve"> </w:t>
      </w:r>
      <w:r w:rsidR="00D57A29">
        <w:t>a</w:t>
      </w:r>
      <w:r>
        <w:t xml:space="preserve"> seven-year plan horizon </w:t>
      </w:r>
      <w:r w:rsidR="00D57A29">
        <w:t>from 2018-2024.</w:t>
      </w:r>
      <w:r w:rsidR="00D57A29" w:rsidRPr="00D57A29">
        <w:t xml:space="preserve"> Some principles applied in developing finance solutions are as follows</w:t>
      </w:r>
      <w:r w:rsidR="00800DF2">
        <w:t>:</w:t>
      </w:r>
      <w:r w:rsidR="006976DA">
        <w:t xml:space="preserve"> </w:t>
      </w:r>
    </w:p>
    <w:p w14:paraId="03A7BC0F" w14:textId="07C7F52D" w:rsidR="00800DF2" w:rsidRDefault="00AD3A4D" w:rsidP="00206114">
      <w:pPr>
        <w:pStyle w:val="ListParagraph"/>
        <w:numPr>
          <w:ilvl w:val="0"/>
          <w:numId w:val="8"/>
        </w:numPr>
        <w:jc w:val="both"/>
      </w:pPr>
      <w:r>
        <w:t>The monetary</w:t>
      </w:r>
      <w:r w:rsidR="00F0497B">
        <w:t xml:space="preserve"> target </w:t>
      </w:r>
      <w:r w:rsidR="007463E6">
        <w:t>will be</w:t>
      </w:r>
      <w:r w:rsidR="00F0497B">
        <w:t xml:space="preserve"> set as </w:t>
      </w:r>
      <w:r w:rsidR="003A3634">
        <w:t xml:space="preserve">the total value of financial results </w:t>
      </w:r>
      <w:r w:rsidR="006051CD">
        <w:t xml:space="preserve">that </w:t>
      </w:r>
      <w:r w:rsidR="003A3634">
        <w:t xml:space="preserve">will achieve minimum financial need of </w:t>
      </w:r>
      <w:r w:rsidR="00F0497B">
        <w:t>LKR 30 billion additional investment</w:t>
      </w:r>
      <w:r w:rsidR="00042B50">
        <w:t xml:space="preserve"> in biodiversity</w:t>
      </w:r>
      <w:r w:rsidR="00F0497B">
        <w:t xml:space="preserve"> </w:t>
      </w:r>
      <w:r w:rsidR="007463E6">
        <w:t>during the plan horizon</w:t>
      </w:r>
      <w:r w:rsidR="0071491A">
        <w:t>.</w:t>
      </w:r>
      <w:r w:rsidR="006976DA">
        <w:t xml:space="preserve"> </w:t>
      </w:r>
      <w:r w:rsidR="00D57A29">
        <w:t>According to FNA, this is the minimum requirement to achieve the targets of the NBSAP and other biodiversity-related plans.</w:t>
      </w:r>
    </w:p>
    <w:p w14:paraId="54E63C27" w14:textId="4F0CA738" w:rsidR="00964DA5" w:rsidRDefault="00AD3A4D" w:rsidP="00D57A29">
      <w:pPr>
        <w:pStyle w:val="ListParagraph"/>
        <w:numPr>
          <w:ilvl w:val="0"/>
          <w:numId w:val="8"/>
        </w:numPr>
        <w:jc w:val="both"/>
      </w:pPr>
      <w:r>
        <w:t xml:space="preserve">The structure of the total finance results will be </w:t>
      </w:r>
      <w:r w:rsidR="00D57A29" w:rsidRPr="00D57A29">
        <w:t xml:space="preserve">a mix of solutions that include </w:t>
      </w:r>
      <w:r w:rsidR="000B11EB">
        <w:t xml:space="preserve">finance mobilization, re-alignment of spending, avoiding future spending and, </w:t>
      </w:r>
      <w:r w:rsidR="008F7F0A">
        <w:t>delivering better outputs</w:t>
      </w:r>
      <w:r w:rsidR="001231C4">
        <w:t>.</w:t>
      </w:r>
    </w:p>
    <w:p w14:paraId="18F96866" w14:textId="7AFFE0E4" w:rsidR="001253EE" w:rsidRDefault="001253EE" w:rsidP="00AD3A4D">
      <w:pPr>
        <w:pStyle w:val="ListParagraph"/>
        <w:numPr>
          <w:ilvl w:val="0"/>
          <w:numId w:val="8"/>
        </w:numPr>
        <w:jc w:val="both"/>
      </w:pPr>
      <w:r>
        <w:t xml:space="preserve">The sources of finance solutions will </w:t>
      </w:r>
      <w:r w:rsidR="006051CD">
        <w:t xml:space="preserve">endeavor </w:t>
      </w:r>
      <w:proofErr w:type="gramStart"/>
      <w:r w:rsidR="006051CD">
        <w:t xml:space="preserve">to </w:t>
      </w:r>
      <w:r>
        <w:t xml:space="preserve"> reduce</w:t>
      </w:r>
      <w:proofErr w:type="gramEnd"/>
      <w:r>
        <w:t xml:space="preserve"> the bias towards government finance with greater </w:t>
      </w:r>
      <w:r w:rsidR="00D35FE1">
        <w:t xml:space="preserve">contribution </w:t>
      </w:r>
      <w:r>
        <w:t>of the private sector and community.</w:t>
      </w:r>
    </w:p>
    <w:p w14:paraId="14CC0FFD" w14:textId="134A4CBA" w:rsidR="00AD3A4D" w:rsidRDefault="00AD3A4D" w:rsidP="00AD3A4D">
      <w:pPr>
        <w:pStyle w:val="ListParagraph"/>
        <w:numPr>
          <w:ilvl w:val="0"/>
          <w:numId w:val="8"/>
        </w:numPr>
        <w:jc w:val="both"/>
      </w:pPr>
      <w:r>
        <w:t xml:space="preserve">The finance solutions </w:t>
      </w:r>
      <w:r w:rsidR="00112B71">
        <w:t xml:space="preserve">will encourage voluntary participation of the private sector </w:t>
      </w:r>
      <w:r w:rsidR="00D35FE1">
        <w:t xml:space="preserve">and community ensuring mutual benefits. </w:t>
      </w:r>
    </w:p>
    <w:p w14:paraId="1EB6A001" w14:textId="5D18C418" w:rsidR="001231C4" w:rsidRDefault="00D35FE1" w:rsidP="00206114">
      <w:pPr>
        <w:pStyle w:val="ListParagraph"/>
        <w:numPr>
          <w:ilvl w:val="0"/>
          <w:numId w:val="8"/>
        </w:numPr>
        <w:jc w:val="both"/>
      </w:pPr>
      <w:r>
        <w:t>Sectoral finance solutions will</w:t>
      </w:r>
      <w:r w:rsidR="00005EFC">
        <w:t xml:space="preserve"> </w:t>
      </w:r>
      <w:r>
        <w:t xml:space="preserve">cover </w:t>
      </w:r>
      <w:r w:rsidR="001231C4">
        <w:t xml:space="preserve">key economic activities </w:t>
      </w:r>
      <w:r w:rsidR="00771C5B">
        <w:t>of the country</w:t>
      </w:r>
      <w:r w:rsidR="006051CD">
        <w:t xml:space="preserve"> </w:t>
      </w:r>
      <w:r w:rsidR="00802620">
        <w:t>such as agriculture, tourism, energy and, business sectors</w:t>
      </w:r>
      <w:r w:rsidR="00771C5B">
        <w:t xml:space="preserve"> </w:t>
      </w:r>
      <w:r w:rsidR="001231C4">
        <w:t xml:space="preserve">in order to </w:t>
      </w:r>
      <w:r w:rsidR="00005EFC">
        <w:t>maximize</w:t>
      </w:r>
      <w:r w:rsidR="001231C4">
        <w:t xml:space="preserve"> biodiversity</w:t>
      </w:r>
      <w:r w:rsidR="00005EFC">
        <w:t xml:space="preserve"> outcome a</w:t>
      </w:r>
      <w:r w:rsidR="00771C5B">
        <w:t>cross the nation</w:t>
      </w:r>
      <w:r w:rsidR="001231C4">
        <w:t>.</w:t>
      </w:r>
    </w:p>
    <w:p w14:paraId="25E818F5" w14:textId="77777777" w:rsidR="003841A8" w:rsidRDefault="00206114" w:rsidP="008B7E9D">
      <w:pPr>
        <w:pStyle w:val="Heading3"/>
      </w:pPr>
      <w:bookmarkStart w:id="16" w:name="_Toc526876307"/>
      <w:r w:rsidRPr="00206114">
        <w:t>Prioritized finance solutions</w:t>
      </w:r>
      <w:bookmarkEnd w:id="16"/>
    </w:p>
    <w:p w14:paraId="7FF89089" w14:textId="4E35B352" w:rsidR="00451DB9" w:rsidRDefault="00206114" w:rsidP="00437B03">
      <w:pPr>
        <w:jc w:val="both"/>
      </w:pPr>
      <w:r>
        <w:t xml:space="preserve">Table 3 presents </w:t>
      </w:r>
      <w:r w:rsidR="00DC401F">
        <w:t>1</w:t>
      </w:r>
      <w:r w:rsidR="00005EFC">
        <w:t>3</w:t>
      </w:r>
      <w:r>
        <w:t xml:space="preserve"> prioritized finance solutions, ranked according to the order of the </w:t>
      </w:r>
      <w:r w:rsidR="007E5D76">
        <w:t xml:space="preserve">detailed </w:t>
      </w:r>
      <w:r>
        <w:t xml:space="preserve">assessment score from the highest to the </w:t>
      </w:r>
      <w:r w:rsidR="006976DA">
        <w:t>lowest</w:t>
      </w:r>
      <w:r w:rsidR="00005EFC">
        <w:t xml:space="preserve">. </w:t>
      </w:r>
      <w:r w:rsidR="00EC3019">
        <w:t xml:space="preserve">At the planning stage, the action plans </w:t>
      </w:r>
      <w:r w:rsidR="008549EB">
        <w:t>were</w:t>
      </w:r>
      <w:r w:rsidR="00EC3019">
        <w:t xml:space="preserve"> prepared for 16 finance solutions, b</w:t>
      </w:r>
      <w:r w:rsidR="008549EB">
        <w:t>ut</w:t>
      </w:r>
      <w:r w:rsidR="00EC3019">
        <w:t xml:space="preserve"> 3 finance solutions under </w:t>
      </w:r>
      <w:r w:rsidR="00EC3019" w:rsidRPr="00EC3019">
        <w:t>Payment for Ecosystem Services</w:t>
      </w:r>
      <w:r w:rsidR="00EC3019">
        <w:t xml:space="preserve"> and 2 solutions under </w:t>
      </w:r>
      <w:r w:rsidR="00EC3019" w:rsidRPr="00EC3019">
        <w:t>Conservation license plates</w:t>
      </w:r>
      <w:r w:rsidR="008549EB">
        <w:t xml:space="preserve"> were bundled, respectively</w:t>
      </w:r>
      <w:r w:rsidR="00EC3019">
        <w:t>.</w:t>
      </w:r>
      <w:r w:rsidR="005C6B67">
        <w:t xml:space="preserve"> The main type of finance result for each of the solutions is given in the first column, while some of the solutions can be categorized under more than one type.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76"/>
        <w:gridCol w:w="904"/>
        <w:gridCol w:w="3600"/>
        <w:gridCol w:w="1337"/>
        <w:gridCol w:w="1210"/>
      </w:tblGrid>
      <w:tr w:rsidR="00150BED" w:rsidRPr="00FD1246" w14:paraId="3BC62EF0" w14:textId="77777777" w:rsidTr="007E5D76">
        <w:trPr>
          <w:trHeight w:val="300"/>
        </w:trPr>
        <w:tc>
          <w:tcPr>
            <w:tcW w:w="9027" w:type="dxa"/>
            <w:gridSpan w:val="5"/>
            <w:vAlign w:val="center"/>
          </w:tcPr>
          <w:p w14:paraId="2BAD8B4F" w14:textId="5BA96584" w:rsidR="00150BED" w:rsidRPr="00FD1246" w:rsidRDefault="00150BED" w:rsidP="008B0052">
            <w:pPr>
              <w:jc w:val="center"/>
              <w:rPr>
                <w:szCs w:val="20"/>
              </w:rPr>
            </w:pPr>
            <w:r w:rsidRPr="00FD1246">
              <w:rPr>
                <w:szCs w:val="20"/>
              </w:rPr>
              <w:t xml:space="preserve">Table 3: Prioritized Finance Solutions, Ranked from </w:t>
            </w:r>
            <w:r>
              <w:rPr>
                <w:szCs w:val="20"/>
              </w:rPr>
              <w:t>h</w:t>
            </w:r>
            <w:r w:rsidRPr="00FD1246">
              <w:rPr>
                <w:szCs w:val="20"/>
              </w:rPr>
              <w:t xml:space="preserve">ighest to the </w:t>
            </w:r>
            <w:r>
              <w:rPr>
                <w:szCs w:val="20"/>
              </w:rPr>
              <w:t>l</w:t>
            </w:r>
            <w:r w:rsidRPr="00FD1246">
              <w:rPr>
                <w:szCs w:val="20"/>
              </w:rPr>
              <w:t>ower Score</w:t>
            </w:r>
          </w:p>
        </w:tc>
      </w:tr>
      <w:tr w:rsidR="00150BED" w:rsidRPr="00D55805" w14:paraId="55593883" w14:textId="77777777" w:rsidTr="00150BED">
        <w:trPr>
          <w:trHeight w:val="300"/>
        </w:trPr>
        <w:tc>
          <w:tcPr>
            <w:tcW w:w="1976" w:type="dxa"/>
            <w:tcBorders>
              <w:top w:val="single" w:sz="4" w:space="0" w:color="auto"/>
              <w:bottom w:val="nil"/>
            </w:tcBorders>
            <w:vAlign w:val="center"/>
          </w:tcPr>
          <w:p w14:paraId="067FDE20" w14:textId="77777777" w:rsidR="00BE73FC" w:rsidRPr="00D55805" w:rsidRDefault="00BE73FC" w:rsidP="00150BED">
            <w:pPr>
              <w:rPr>
                <w:sz w:val="20"/>
                <w:szCs w:val="20"/>
              </w:rPr>
            </w:pPr>
          </w:p>
        </w:tc>
        <w:tc>
          <w:tcPr>
            <w:tcW w:w="904" w:type="dxa"/>
            <w:tcBorders>
              <w:top w:val="single" w:sz="4" w:space="0" w:color="auto"/>
              <w:bottom w:val="nil"/>
            </w:tcBorders>
            <w:noWrap/>
            <w:vAlign w:val="center"/>
            <w:hideMark/>
          </w:tcPr>
          <w:p w14:paraId="3D0393D7" w14:textId="31042157" w:rsidR="00BE73FC" w:rsidRPr="00D55805" w:rsidRDefault="00BE73FC" w:rsidP="008B0052">
            <w:pPr>
              <w:rPr>
                <w:sz w:val="20"/>
                <w:szCs w:val="20"/>
              </w:rPr>
            </w:pPr>
          </w:p>
        </w:tc>
        <w:tc>
          <w:tcPr>
            <w:tcW w:w="3600" w:type="dxa"/>
            <w:tcBorders>
              <w:top w:val="single" w:sz="4" w:space="0" w:color="auto"/>
              <w:bottom w:val="nil"/>
            </w:tcBorders>
            <w:noWrap/>
            <w:vAlign w:val="center"/>
            <w:hideMark/>
          </w:tcPr>
          <w:p w14:paraId="4D4B7319" w14:textId="77777777" w:rsidR="00BE73FC" w:rsidRPr="00D55805" w:rsidRDefault="00BE73FC" w:rsidP="008B0052">
            <w:pPr>
              <w:rPr>
                <w:sz w:val="20"/>
                <w:szCs w:val="20"/>
              </w:rPr>
            </w:pPr>
          </w:p>
        </w:tc>
        <w:tc>
          <w:tcPr>
            <w:tcW w:w="2547" w:type="dxa"/>
            <w:gridSpan w:val="2"/>
            <w:noWrap/>
            <w:vAlign w:val="center"/>
            <w:hideMark/>
          </w:tcPr>
          <w:p w14:paraId="628B77AC" w14:textId="77777777" w:rsidR="00BE73FC" w:rsidRPr="00D55805" w:rsidRDefault="00BE73FC" w:rsidP="008B0052">
            <w:pPr>
              <w:jc w:val="center"/>
              <w:rPr>
                <w:sz w:val="20"/>
                <w:szCs w:val="20"/>
              </w:rPr>
            </w:pPr>
            <w:r w:rsidRPr="008549EB">
              <w:rPr>
                <w:szCs w:val="20"/>
              </w:rPr>
              <w:t>Assessment Score</w:t>
            </w:r>
          </w:p>
        </w:tc>
      </w:tr>
      <w:tr w:rsidR="00150BED" w:rsidRPr="00D55805" w14:paraId="609AA8F0" w14:textId="77777777" w:rsidTr="00150BED">
        <w:trPr>
          <w:trHeight w:val="300"/>
        </w:trPr>
        <w:tc>
          <w:tcPr>
            <w:tcW w:w="1976" w:type="dxa"/>
            <w:tcBorders>
              <w:top w:val="nil"/>
              <w:bottom w:val="single" w:sz="4" w:space="0" w:color="auto"/>
            </w:tcBorders>
            <w:vAlign w:val="center"/>
          </w:tcPr>
          <w:p w14:paraId="2D771DC6" w14:textId="49C348E9" w:rsidR="00BE73FC" w:rsidRPr="008549EB" w:rsidRDefault="008549EB" w:rsidP="00150BED">
            <w:pPr>
              <w:rPr>
                <w:szCs w:val="20"/>
              </w:rPr>
            </w:pPr>
            <w:r w:rsidRPr="008549EB">
              <w:rPr>
                <w:szCs w:val="20"/>
              </w:rPr>
              <w:t>Finance result</w:t>
            </w:r>
          </w:p>
        </w:tc>
        <w:tc>
          <w:tcPr>
            <w:tcW w:w="904" w:type="dxa"/>
            <w:tcBorders>
              <w:top w:val="nil"/>
              <w:bottom w:val="single" w:sz="4" w:space="0" w:color="auto"/>
            </w:tcBorders>
            <w:noWrap/>
            <w:vAlign w:val="center"/>
            <w:hideMark/>
          </w:tcPr>
          <w:p w14:paraId="5AD9CB7C" w14:textId="72792B18" w:rsidR="00BE73FC" w:rsidRPr="008549EB" w:rsidRDefault="00BE73FC" w:rsidP="008B0052">
            <w:pPr>
              <w:rPr>
                <w:szCs w:val="20"/>
              </w:rPr>
            </w:pPr>
            <w:r w:rsidRPr="008549EB">
              <w:rPr>
                <w:szCs w:val="20"/>
              </w:rPr>
              <w:t>Code</w:t>
            </w:r>
          </w:p>
        </w:tc>
        <w:tc>
          <w:tcPr>
            <w:tcW w:w="3600" w:type="dxa"/>
            <w:tcBorders>
              <w:top w:val="nil"/>
              <w:bottom w:val="single" w:sz="4" w:space="0" w:color="auto"/>
            </w:tcBorders>
            <w:noWrap/>
            <w:vAlign w:val="center"/>
            <w:hideMark/>
          </w:tcPr>
          <w:p w14:paraId="70604257" w14:textId="5F01FA41" w:rsidR="00BE73FC" w:rsidRPr="008549EB" w:rsidRDefault="00BE73FC" w:rsidP="008549EB">
            <w:pPr>
              <w:jc w:val="center"/>
              <w:rPr>
                <w:szCs w:val="20"/>
              </w:rPr>
            </w:pPr>
            <w:r w:rsidRPr="008549EB">
              <w:rPr>
                <w:szCs w:val="20"/>
              </w:rPr>
              <w:t xml:space="preserve">Finance </w:t>
            </w:r>
            <w:r w:rsidR="008549EB" w:rsidRPr="008549EB">
              <w:rPr>
                <w:szCs w:val="20"/>
              </w:rPr>
              <w:t>mechanism</w:t>
            </w:r>
          </w:p>
        </w:tc>
        <w:tc>
          <w:tcPr>
            <w:tcW w:w="1337" w:type="dxa"/>
            <w:noWrap/>
            <w:vAlign w:val="center"/>
            <w:hideMark/>
          </w:tcPr>
          <w:p w14:paraId="37DDEBD5" w14:textId="77777777" w:rsidR="00BE73FC" w:rsidRPr="00D55805" w:rsidRDefault="00BE73FC" w:rsidP="008B0052">
            <w:pPr>
              <w:jc w:val="center"/>
              <w:rPr>
                <w:sz w:val="20"/>
                <w:szCs w:val="20"/>
              </w:rPr>
            </w:pPr>
            <w:r>
              <w:rPr>
                <w:sz w:val="20"/>
                <w:szCs w:val="20"/>
              </w:rPr>
              <w:t>Rapid assessment: Max 15</w:t>
            </w:r>
          </w:p>
        </w:tc>
        <w:tc>
          <w:tcPr>
            <w:tcW w:w="1210" w:type="dxa"/>
            <w:noWrap/>
            <w:vAlign w:val="center"/>
            <w:hideMark/>
          </w:tcPr>
          <w:p w14:paraId="57AD1754" w14:textId="77777777" w:rsidR="00BE73FC" w:rsidRPr="00D55805" w:rsidRDefault="00BE73FC" w:rsidP="008B0052">
            <w:pPr>
              <w:jc w:val="center"/>
              <w:rPr>
                <w:sz w:val="20"/>
                <w:szCs w:val="20"/>
              </w:rPr>
            </w:pPr>
            <w:r>
              <w:rPr>
                <w:sz w:val="20"/>
                <w:szCs w:val="20"/>
              </w:rPr>
              <w:t>Detailed assessment:</w:t>
            </w:r>
            <w:r w:rsidRPr="00D55805">
              <w:rPr>
                <w:sz w:val="20"/>
                <w:szCs w:val="20"/>
              </w:rPr>
              <w:t xml:space="preserve"> </w:t>
            </w:r>
            <w:r>
              <w:rPr>
                <w:sz w:val="20"/>
                <w:szCs w:val="20"/>
              </w:rPr>
              <w:t xml:space="preserve">Max </w:t>
            </w:r>
            <w:r w:rsidRPr="00D55805">
              <w:rPr>
                <w:sz w:val="20"/>
                <w:szCs w:val="20"/>
              </w:rPr>
              <w:t>95</w:t>
            </w:r>
          </w:p>
        </w:tc>
      </w:tr>
      <w:tr w:rsidR="00150BED" w:rsidRPr="00FD1246" w14:paraId="172DA806" w14:textId="77777777" w:rsidTr="00150BED">
        <w:trPr>
          <w:trHeight w:val="300"/>
        </w:trPr>
        <w:tc>
          <w:tcPr>
            <w:tcW w:w="1976" w:type="dxa"/>
            <w:tcBorders>
              <w:top w:val="single" w:sz="4" w:space="0" w:color="auto"/>
            </w:tcBorders>
            <w:vAlign w:val="center"/>
          </w:tcPr>
          <w:p w14:paraId="0BD41513" w14:textId="57C3D73A" w:rsidR="00BE73FC" w:rsidRPr="00FD1246" w:rsidRDefault="007E5D76" w:rsidP="00150BED">
            <w:pPr>
              <w:rPr>
                <w:sz w:val="20"/>
                <w:szCs w:val="20"/>
              </w:rPr>
            </w:pPr>
            <w:r>
              <w:rPr>
                <w:sz w:val="20"/>
                <w:szCs w:val="20"/>
              </w:rPr>
              <w:t>Avoid spending</w:t>
            </w:r>
          </w:p>
        </w:tc>
        <w:tc>
          <w:tcPr>
            <w:tcW w:w="904" w:type="dxa"/>
            <w:tcBorders>
              <w:top w:val="single" w:sz="4" w:space="0" w:color="auto"/>
            </w:tcBorders>
            <w:noWrap/>
            <w:vAlign w:val="center"/>
            <w:hideMark/>
          </w:tcPr>
          <w:p w14:paraId="284FF726" w14:textId="4DBDF7B1" w:rsidR="00BE73FC" w:rsidRPr="00FD1246" w:rsidRDefault="00BE73FC" w:rsidP="008B0052">
            <w:pPr>
              <w:rPr>
                <w:sz w:val="20"/>
                <w:szCs w:val="20"/>
              </w:rPr>
            </w:pPr>
            <w:r w:rsidRPr="00FD1246">
              <w:rPr>
                <w:sz w:val="20"/>
                <w:szCs w:val="20"/>
              </w:rPr>
              <w:t>SST(A)</w:t>
            </w:r>
          </w:p>
        </w:tc>
        <w:tc>
          <w:tcPr>
            <w:tcW w:w="3600" w:type="dxa"/>
            <w:tcBorders>
              <w:top w:val="single" w:sz="4" w:space="0" w:color="auto"/>
            </w:tcBorders>
            <w:noWrap/>
            <w:vAlign w:val="center"/>
            <w:hideMark/>
          </w:tcPr>
          <w:p w14:paraId="1EC93F3A" w14:textId="77777777" w:rsidR="00BE73FC" w:rsidRPr="00FD1246" w:rsidRDefault="00BE73FC" w:rsidP="008B0052">
            <w:pPr>
              <w:rPr>
                <w:sz w:val="20"/>
                <w:szCs w:val="20"/>
              </w:rPr>
            </w:pPr>
            <w:r w:rsidRPr="00FD1246">
              <w:rPr>
                <w:sz w:val="20"/>
                <w:szCs w:val="20"/>
              </w:rPr>
              <w:t>Sustainable Standards and Certification</w:t>
            </w:r>
          </w:p>
        </w:tc>
        <w:tc>
          <w:tcPr>
            <w:tcW w:w="1337" w:type="dxa"/>
            <w:noWrap/>
            <w:vAlign w:val="center"/>
            <w:hideMark/>
          </w:tcPr>
          <w:p w14:paraId="298B666B" w14:textId="77777777" w:rsidR="00BE73FC" w:rsidRPr="00FD1246" w:rsidRDefault="00BE73FC" w:rsidP="008B0052">
            <w:pPr>
              <w:jc w:val="center"/>
              <w:rPr>
                <w:sz w:val="20"/>
                <w:szCs w:val="20"/>
              </w:rPr>
            </w:pPr>
            <w:r w:rsidRPr="00FD1246">
              <w:rPr>
                <w:sz w:val="20"/>
                <w:szCs w:val="20"/>
              </w:rPr>
              <w:t>14</w:t>
            </w:r>
          </w:p>
        </w:tc>
        <w:tc>
          <w:tcPr>
            <w:tcW w:w="1210" w:type="dxa"/>
            <w:noWrap/>
            <w:vAlign w:val="center"/>
            <w:hideMark/>
          </w:tcPr>
          <w:p w14:paraId="63E4E23F" w14:textId="77777777" w:rsidR="00BE73FC" w:rsidRPr="00FD1246" w:rsidRDefault="00BE73FC" w:rsidP="008B0052">
            <w:pPr>
              <w:jc w:val="center"/>
              <w:rPr>
                <w:sz w:val="20"/>
                <w:szCs w:val="20"/>
              </w:rPr>
            </w:pPr>
            <w:r w:rsidRPr="00FD1246">
              <w:rPr>
                <w:sz w:val="20"/>
                <w:szCs w:val="20"/>
              </w:rPr>
              <w:t>76</w:t>
            </w:r>
          </w:p>
        </w:tc>
      </w:tr>
      <w:tr w:rsidR="00150BED" w:rsidRPr="00FD1246" w14:paraId="1E60AD4D" w14:textId="77777777" w:rsidTr="00150BED">
        <w:trPr>
          <w:trHeight w:val="300"/>
        </w:trPr>
        <w:tc>
          <w:tcPr>
            <w:tcW w:w="1976" w:type="dxa"/>
            <w:vAlign w:val="center"/>
          </w:tcPr>
          <w:p w14:paraId="46FBEEFF" w14:textId="771FD8FC" w:rsidR="00BE73FC" w:rsidRPr="00FD1246" w:rsidRDefault="007E5D76" w:rsidP="00150BED">
            <w:pPr>
              <w:rPr>
                <w:sz w:val="20"/>
                <w:szCs w:val="20"/>
              </w:rPr>
            </w:pPr>
            <w:r>
              <w:rPr>
                <w:sz w:val="20"/>
                <w:szCs w:val="20"/>
              </w:rPr>
              <w:t>Better delivery</w:t>
            </w:r>
          </w:p>
        </w:tc>
        <w:tc>
          <w:tcPr>
            <w:tcW w:w="904" w:type="dxa"/>
            <w:noWrap/>
            <w:vAlign w:val="center"/>
            <w:hideMark/>
          </w:tcPr>
          <w:p w14:paraId="4D93AF11" w14:textId="62393039" w:rsidR="00BE73FC" w:rsidRPr="00FD1246" w:rsidRDefault="00BE73FC" w:rsidP="008B0052">
            <w:pPr>
              <w:rPr>
                <w:sz w:val="20"/>
                <w:szCs w:val="20"/>
              </w:rPr>
            </w:pPr>
            <w:r w:rsidRPr="00FD1246">
              <w:rPr>
                <w:sz w:val="20"/>
                <w:szCs w:val="20"/>
              </w:rPr>
              <w:t>SST(B)</w:t>
            </w:r>
          </w:p>
        </w:tc>
        <w:tc>
          <w:tcPr>
            <w:tcW w:w="3600" w:type="dxa"/>
            <w:noWrap/>
            <w:vAlign w:val="center"/>
            <w:hideMark/>
          </w:tcPr>
          <w:p w14:paraId="35B0048E" w14:textId="77777777" w:rsidR="00BE73FC" w:rsidRPr="00FD1246" w:rsidRDefault="00BE73FC" w:rsidP="008B0052">
            <w:pPr>
              <w:rPr>
                <w:sz w:val="20"/>
                <w:szCs w:val="20"/>
              </w:rPr>
            </w:pPr>
            <w:r w:rsidRPr="00FD1246">
              <w:rPr>
                <w:sz w:val="20"/>
                <w:szCs w:val="20"/>
              </w:rPr>
              <w:t>Eco-labels</w:t>
            </w:r>
          </w:p>
        </w:tc>
        <w:tc>
          <w:tcPr>
            <w:tcW w:w="1337" w:type="dxa"/>
            <w:noWrap/>
            <w:vAlign w:val="center"/>
            <w:hideMark/>
          </w:tcPr>
          <w:p w14:paraId="3CAB8C36" w14:textId="77777777" w:rsidR="00BE73FC" w:rsidRPr="00FD1246" w:rsidRDefault="00BE73FC" w:rsidP="008B0052">
            <w:pPr>
              <w:jc w:val="center"/>
              <w:rPr>
                <w:sz w:val="20"/>
                <w:szCs w:val="20"/>
              </w:rPr>
            </w:pPr>
            <w:r w:rsidRPr="00FD1246">
              <w:rPr>
                <w:sz w:val="20"/>
                <w:szCs w:val="20"/>
              </w:rPr>
              <w:t>14</w:t>
            </w:r>
          </w:p>
        </w:tc>
        <w:tc>
          <w:tcPr>
            <w:tcW w:w="1210" w:type="dxa"/>
            <w:noWrap/>
            <w:vAlign w:val="center"/>
            <w:hideMark/>
          </w:tcPr>
          <w:p w14:paraId="1C2EB82E" w14:textId="77777777" w:rsidR="00BE73FC" w:rsidRPr="00FD1246" w:rsidRDefault="00BE73FC" w:rsidP="008B0052">
            <w:pPr>
              <w:jc w:val="center"/>
              <w:rPr>
                <w:sz w:val="20"/>
                <w:szCs w:val="20"/>
              </w:rPr>
            </w:pPr>
            <w:r w:rsidRPr="00FD1246">
              <w:rPr>
                <w:sz w:val="20"/>
                <w:szCs w:val="20"/>
              </w:rPr>
              <w:t>76</w:t>
            </w:r>
          </w:p>
        </w:tc>
      </w:tr>
      <w:tr w:rsidR="00150BED" w:rsidRPr="00FD1246" w14:paraId="099E8FD2" w14:textId="77777777" w:rsidTr="00150BED">
        <w:trPr>
          <w:trHeight w:val="300"/>
        </w:trPr>
        <w:tc>
          <w:tcPr>
            <w:tcW w:w="1976" w:type="dxa"/>
            <w:vAlign w:val="center"/>
          </w:tcPr>
          <w:p w14:paraId="5D05CE33" w14:textId="3A6B6505" w:rsidR="00BE73FC" w:rsidRPr="00FD1246" w:rsidRDefault="0072400F" w:rsidP="00150BED">
            <w:pPr>
              <w:rPr>
                <w:sz w:val="20"/>
                <w:szCs w:val="20"/>
              </w:rPr>
            </w:pPr>
            <w:r w:rsidRPr="0072400F">
              <w:rPr>
                <w:sz w:val="20"/>
                <w:szCs w:val="20"/>
              </w:rPr>
              <w:t>Re-alignment</w:t>
            </w:r>
          </w:p>
        </w:tc>
        <w:tc>
          <w:tcPr>
            <w:tcW w:w="904" w:type="dxa"/>
            <w:noWrap/>
            <w:vAlign w:val="center"/>
            <w:hideMark/>
          </w:tcPr>
          <w:p w14:paraId="7DE5316B" w14:textId="4A0C82E1" w:rsidR="00BE73FC" w:rsidRPr="00FD1246" w:rsidRDefault="00BE73FC" w:rsidP="008B0052">
            <w:pPr>
              <w:rPr>
                <w:sz w:val="20"/>
                <w:szCs w:val="20"/>
              </w:rPr>
            </w:pPr>
            <w:r w:rsidRPr="00FD1246">
              <w:rPr>
                <w:sz w:val="20"/>
                <w:szCs w:val="20"/>
              </w:rPr>
              <w:t>GL</w:t>
            </w:r>
          </w:p>
        </w:tc>
        <w:tc>
          <w:tcPr>
            <w:tcW w:w="3600" w:type="dxa"/>
            <w:noWrap/>
            <w:vAlign w:val="center"/>
            <w:hideMark/>
          </w:tcPr>
          <w:p w14:paraId="5CA5DCE4" w14:textId="77777777" w:rsidR="00BE73FC" w:rsidRPr="00FD1246" w:rsidRDefault="00BE73FC" w:rsidP="008B0052">
            <w:pPr>
              <w:rPr>
                <w:sz w:val="20"/>
                <w:szCs w:val="20"/>
              </w:rPr>
            </w:pPr>
            <w:r w:rsidRPr="00FD1246">
              <w:rPr>
                <w:sz w:val="20"/>
                <w:szCs w:val="20"/>
              </w:rPr>
              <w:t>Green lending</w:t>
            </w:r>
          </w:p>
        </w:tc>
        <w:tc>
          <w:tcPr>
            <w:tcW w:w="1337" w:type="dxa"/>
            <w:noWrap/>
            <w:vAlign w:val="center"/>
            <w:hideMark/>
          </w:tcPr>
          <w:p w14:paraId="6217FCF4" w14:textId="77777777" w:rsidR="00BE73FC" w:rsidRPr="00FD1246" w:rsidRDefault="00BE73FC" w:rsidP="008B0052">
            <w:pPr>
              <w:jc w:val="center"/>
              <w:rPr>
                <w:sz w:val="20"/>
                <w:szCs w:val="20"/>
              </w:rPr>
            </w:pPr>
            <w:r w:rsidRPr="00FD1246">
              <w:rPr>
                <w:sz w:val="20"/>
                <w:szCs w:val="20"/>
              </w:rPr>
              <w:t>12</w:t>
            </w:r>
          </w:p>
        </w:tc>
        <w:tc>
          <w:tcPr>
            <w:tcW w:w="1210" w:type="dxa"/>
            <w:noWrap/>
            <w:vAlign w:val="center"/>
            <w:hideMark/>
          </w:tcPr>
          <w:p w14:paraId="4D500C95" w14:textId="77777777" w:rsidR="00BE73FC" w:rsidRPr="00FD1246" w:rsidRDefault="00BE73FC" w:rsidP="008B0052">
            <w:pPr>
              <w:jc w:val="center"/>
              <w:rPr>
                <w:sz w:val="20"/>
                <w:szCs w:val="20"/>
              </w:rPr>
            </w:pPr>
            <w:r w:rsidRPr="00FD1246">
              <w:rPr>
                <w:sz w:val="20"/>
                <w:szCs w:val="20"/>
              </w:rPr>
              <w:t>74</w:t>
            </w:r>
          </w:p>
        </w:tc>
      </w:tr>
      <w:tr w:rsidR="00150BED" w:rsidRPr="00FD1246" w14:paraId="66AE7540" w14:textId="77777777" w:rsidTr="00150BED">
        <w:trPr>
          <w:trHeight w:val="300"/>
        </w:trPr>
        <w:tc>
          <w:tcPr>
            <w:tcW w:w="1976" w:type="dxa"/>
            <w:vAlign w:val="center"/>
          </w:tcPr>
          <w:p w14:paraId="01BA2241" w14:textId="29FC5236" w:rsidR="00BE73FC" w:rsidRPr="00FD1246" w:rsidRDefault="0072400F" w:rsidP="00150BED">
            <w:pPr>
              <w:rPr>
                <w:sz w:val="20"/>
                <w:szCs w:val="20"/>
              </w:rPr>
            </w:pPr>
            <w:r w:rsidRPr="0072400F">
              <w:rPr>
                <w:sz w:val="20"/>
                <w:szCs w:val="20"/>
              </w:rPr>
              <w:t>Re-alignment</w:t>
            </w:r>
          </w:p>
        </w:tc>
        <w:tc>
          <w:tcPr>
            <w:tcW w:w="904" w:type="dxa"/>
            <w:noWrap/>
            <w:vAlign w:val="center"/>
            <w:hideMark/>
          </w:tcPr>
          <w:p w14:paraId="2300340C" w14:textId="42C459E9" w:rsidR="00BE73FC" w:rsidRPr="00FD1246" w:rsidRDefault="00BE73FC" w:rsidP="008B0052">
            <w:pPr>
              <w:rPr>
                <w:sz w:val="20"/>
                <w:szCs w:val="20"/>
              </w:rPr>
            </w:pPr>
            <w:r w:rsidRPr="00FD1246">
              <w:rPr>
                <w:sz w:val="20"/>
                <w:szCs w:val="20"/>
              </w:rPr>
              <w:t>CSR(A)</w:t>
            </w:r>
          </w:p>
        </w:tc>
        <w:tc>
          <w:tcPr>
            <w:tcW w:w="3600" w:type="dxa"/>
            <w:noWrap/>
            <w:vAlign w:val="center"/>
            <w:hideMark/>
          </w:tcPr>
          <w:p w14:paraId="59D97225" w14:textId="77777777" w:rsidR="00BE73FC" w:rsidRPr="00FD1246" w:rsidRDefault="00BE73FC" w:rsidP="008B0052">
            <w:pPr>
              <w:rPr>
                <w:sz w:val="20"/>
                <w:szCs w:val="20"/>
              </w:rPr>
            </w:pPr>
            <w:r w:rsidRPr="00FD1246">
              <w:rPr>
                <w:sz w:val="20"/>
                <w:szCs w:val="20"/>
              </w:rPr>
              <w:t xml:space="preserve">Corporate Social Responsibility </w:t>
            </w:r>
          </w:p>
        </w:tc>
        <w:tc>
          <w:tcPr>
            <w:tcW w:w="1337" w:type="dxa"/>
            <w:noWrap/>
            <w:vAlign w:val="center"/>
            <w:hideMark/>
          </w:tcPr>
          <w:p w14:paraId="05FCE1B7" w14:textId="77777777" w:rsidR="00BE73FC" w:rsidRPr="00FD1246" w:rsidRDefault="00BE73FC" w:rsidP="008B0052">
            <w:pPr>
              <w:jc w:val="center"/>
              <w:rPr>
                <w:sz w:val="20"/>
                <w:szCs w:val="20"/>
              </w:rPr>
            </w:pPr>
            <w:r w:rsidRPr="00FD1246">
              <w:rPr>
                <w:sz w:val="20"/>
                <w:szCs w:val="20"/>
              </w:rPr>
              <w:t>13</w:t>
            </w:r>
          </w:p>
        </w:tc>
        <w:tc>
          <w:tcPr>
            <w:tcW w:w="1210" w:type="dxa"/>
            <w:noWrap/>
            <w:vAlign w:val="center"/>
            <w:hideMark/>
          </w:tcPr>
          <w:p w14:paraId="516BEF03" w14:textId="77777777" w:rsidR="00BE73FC" w:rsidRPr="00FD1246" w:rsidRDefault="00BE73FC" w:rsidP="008B0052">
            <w:pPr>
              <w:jc w:val="center"/>
              <w:rPr>
                <w:sz w:val="20"/>
                <w:szCs w:val="20"/>
              </w:rPr>
            </w:pPr>
            <w:r w:rsidRPr="00FD1246">
              <w:rPr>
                <w:sz w:val="20"/>
                <w:szCs w:val="20"/>
              </w:rPr>
              <w:t>74</w:t>
            </w:r>
          </w:p>
        </w:tc>
      </w:tr>
      <w:tr w:rsidR="00150BED" w:rsidRPr="00FD1246" w14:paraId="153BAFD1" w14:textId="77777777" w:rsidTr="00150BED">
        <w:trPr>
          <w:trHeight w:val="300"/>
        </w:trPr>
        <w:tc>
          <w:tcPr>
            <w:tcW w:w="1976" w:type="dxa"/>
            <w:vAlign w:val="center"/>
          </w:tcPr>
          <w:p w14:paraId="6B758071" w14:textId="03404133" w:rsidR="00BE73FC" w:rsidRPr="00FD1246" w:rsidRDefault="0072400F" w:rsidP="00150BED">
            <w:pPr>
              <w:rPr>
                <w:sz w:val="20"/>
                <w:szCs w:val="20"/>
              </w:rPr>
            </w:pPr>
            <w:r w:rsidRPr="0072400F">
              <w:rPr>
                <w:sz w:val="20"/>
                <w:szCs w:val="20"/>
              </w:rPr>
              <w:t>New financing</w:t>
            </w:r>
          </w:p>
        </w:tc>
        <w:tc>
          <w:tcPr>
            <w:tcW w:w="904" w:type="dxa"/>
            <w:noWrap/>
            <w:vAlign w:val="center"/>
            <w:hideMark/>
          </w:tcPr>
          <w:p w14:paraId="4DD505A5" w14:textId="5CC0CC96" w:rsidR="00BE73FC" w:rsidRPr="00FD1246" w:rsidRDefault="00BE73FC" w:rsidP="008B0052">
            <w:pPr>
              <w:rPr>
                <w:sz w:val="20"/>
                <w:szCs w:val="20"/>
              </w:rPr>
            </w:pPr>
            <w:r w:rsidRPr="00FD1246">
              <w:rPr>
                <w:sz w:val="20"/>
                <w:szCs w:val="20"/>
              </w:rPr>
              <w:t>LOT</w:t>
            </w:r>
          </w:p>
        </w:tc>
        <w:tc>
          <w:tcPr>
            <w:tcW w:w="3600" w:type="dxa"/>
            <w:noWrap/>
            <w:vAlign w:val="center"/>
            <w:hideMark/>
          </w:tcPr>
          <w:p w14:paraId="00466C47" w14:textId="77777777" w:rsidR="00BE73FC" w:rsidRPr="00FD1246" w:rsidRDefault="00BE73FC" w:rsidP="008B0052">
            <w:pPr>
              <w:rPr>
                <w:sz w:val="20"/>
                <w:szCs w:val="20"/>
              </w:rPr>
            </w:pPr>
            <w:r w:rsidRPr="00FD1246">
              <w:rPr>
                <w:sz w:val="20"/>
                <w:szCs w:val="20"/>
              </w:rPr>
              <w:t>Lotteries</w:t>
            </w:r>
          </w:p>
        </w:tc>
        <w:tc>
          <w:tcPr>
            <w:tcW w:w="1337" w:type="dxa"/>
            <w:noWrap/>
            <w:vAlign w:val="center"/>
            <w:hideMark/>
          </w:tcPr>
          <w:p w14:paraId="28B49166" w14:textId="77777777" w:rsidR="00BE73FC" w:rsidRPr="00FD1246" w:rsidRDefault="00BE73FC" w:rsidP="008B0052">
            <w:pPr>
              <w:jc w:val="center"/>
              <w:rPr>
                <w:sz w:val="20"/>
                <w:szCs w:val="20"/>
              </w:rPr>
            </w:pPr>
            <w:r w:rsidRPr="00FD1246">
              <w:rPr>
                <w:sz w:val="20"/>
                <w:szCs w:val="20"/>
              </w:rPr>
              <w:t>14</w:t>
            </w:r>
          </w:p>
        </w:tc>
        <w:tc>
          <w:tcPr>
            <w:tcW w:w="1210" w:type="dxa"/>
            <w:noWrap/>
            <w:vAlign w:val="center"/>
            <w:hideMark/>
          </w:tcPr>
          <w:p w14:paraId="323AB2F9" w14:textId="77777777" w:rsidR="00BE73FC" w:rsidRPr="00FD1246" w:rsidRDefault="00BE73FC" w:rsidP="008B0052">
            <w:pPr>
              <w:jc w:val="center"/>
              <w:rPr>
                <w:sz w:val="20"/>
                <w:szCs w:val="20"/>
              </w:rPr>
            </w:pPr>
            <w:r w:rsidRPr="00FD1246">
              <w:rPr>
                <w:sz w:val="20"/>
                <w:szCs w:val="20"/>
              </w:rPr>
              <w:t>70</w:t>
            </w:r>
          </w:p>
        </w:tc>
      </w:tr>
      <w:tr w:rsidR="00150BED" w:rsidRPr="00FD1246" w14:paraId="092051F4" w14:textId="77777777" w:rsidTr="00150BED">
        <w:trPr>
          <w:trHeight w:val="300"/>
        </w:trPr>
        <w:tc>
          <w:tcPr>
            <w:tcW w:w="1976" w:type="dxa"/>
            <w:vAlign w:val="center"/>
          </w:tcPr>
          <w:p w14:paraId="01F8E768" w14:textId="431019D5" w:rsidR="00BE73FC" w:rsidRPr="00FD1246" w:rsidRDefault="0072400F" w:rsidP="00150BED">
            <w:pPr>
              <w:rPr>
                <w:sz w:val="20"/>
                <w:szCs w:val="20"/>
              </w:rPr>
            </w:pPr>
            <w:r w:rsidRPr="0072400F">
              <w:rPr>
                <w:sz w:val="20"/>
                <w:szCs w:val="20"/>
              </w:rPr>
              <w:t>New financing</w:t>
            </w:r>
          </w:p>
        </w:tc>
        <w:tc>
          <w:tcPr>
            <w:tcW w:w="904" w:type="dxa"/>
            <w:noWrap/>
            <w:vAlign w:val="center"/>
            <w:hideMark/>
          </w:tcPr>
          <w:p w14:paraId="2DD49628" w14:textId="15CD59C0" w:rsidR="00BE73FC" w:rsidRPr="00FD1246" w:rsidRDefault="00BE73FC" w:rsidP="008B0052">
            <w:pPr>
              <w:rPr>
                <w:sz w:val="20"/>
                <w:szCs w:val="20"/>
              </w:rPr>
            </w:pPr>
            <w:r w:rsidRPr="00FD1246">
              <w:rPr>
                <w:sz w:val="20"/>
                <w:szCs w:val="20"/>
              </w:rPr>
              <w:t>PES</w:t>
            </w:r>
          </w:p>
        </w:tc>
        <w:tc>
          <w:tcPr>
            <w:tcW w:w="3600" w:type="dxa"/>
            <w:noWrap/>
            <w:vAlign w:val="center"/>
            <w:hideMark/>
          </w:tcPr>
          <w:p w14:paraId="4F9153F9" w14:textId="77777777" w:rsidR="00BE73FC" w:rsidRPr="00FD1246" w:rsidRDefault="00BE73FC" w:rsidP="008B0052">
            <w:pPr>
              <w:rPr>
                <w:sz w:val="20"/>
                <w:szCs w:val="20"/>
              </w:rPr>
            </w:pPr>
            <w:r w:rsidRPr="00FD1246">
              <w:rPr>
                <w:sz w:val="20"/>
                <w:szCs w:val="20"/>
              </w:rPr>
              <w:t>Payment for Ecosystem Services</w:t>
            </w:r>
          </w:p>
        </w:tc>
        <w:tc>
          <w:tcPr>
            <w:tcW w:w="1337" w:type="dxa"/>
            <w:noWrap/>
            <w:vAlign w:val="center"/>
            <w:hideMark/>
          </w:tcPr>
          <w:p w14:paraId="154F5053" w14:textId="77777777" w:rsidR="00BE73FC" w:rsidRPr="00FD1246" w:rsidRDefault="00BE73FC" w:rsidP="008B0052">
            <w:pPr>
              <w:jc w:val="center"/>
              <w:rPr>
                <w:sz w:val="20"/>
                <w:szCs w:val="20"/>
              </w:rPr>
            </w:pPr>
            <w:r w:rsidRPr="00FD1246">
              <w:rPr>
                <w:sz w:val="20"/>
                <w:szCs w:val="20"/>
              </w:rPr>
              <w:t>14</w:t>
            </w:r>
          </w:p>
        </w:tc>
        <w:tc>
          <w:tcPr>
            <w:tcW w:w="1210" w:type="dxa"/>
            <w:noWrap/>
            <w:vAlign w:val="center"/>
            <w:hideMark/>
          </w:tcPr>
          <w:p w14:paraId="1EC943F7" w14:textId="77777777" w:rsidR="00BE73FC" w:rsidRPr="00FD1246" w:rsidRDefault="00BE73FC" w:rsidP="008B0052">
            <w:pPr>
              <w:jc w:val="center"/>
              <w:rPr>
                <w:sz w:val="20"/>
                <w:szCs w:val="20"/>
              </w:rPr>
            </w:pPr>
            <w:r w:rsidRPr="00FD1246">
              <w:rPr>
                <w:sz w:val="20"/>
                <w:szCs w:val="20"/>
              </w:rPr>
              <w:t>68</w:t>
            </w:r>
          </w:p>
        </w:tc>
      </w:tr>
      <w:tr w:rsidR="00150BED" w:rsidRPr="00FD1246" w14:paraId="197FF615" w14:textId="77777777" w:rsidTr="00150BED">
        <w:trPr>
          <w:trHeight w:val="300"/>
        </w:trPr>
        <w:tc>
          <w:tcPr>
            <w:tcW w:w="1976" w:type="dxa"/>
            <w:vAlign w:val="center"/>
          </w:tcPr>
          <w:p w14:paraId="4E2045AD" w14:textId="4C699A60" w:rsidR="00BE73FC" w:rsidRPr="00FD1246" w:rsidRDefault="0072400F" w:rsidP="00150BED">
            <w:pPr>
              <w:rPr>
                <w:sz w:val="20"/>
                <w:szCs w:val="20"/>
              </w:rPr>
            </w:pPr>
            <w:r w:rsidRPr="0072400F">
              <w:rPr>
                <w:sz w:val="20"/>
                <w:szCs w:val="20"/>
              </w:rPr>
              <w:t>New financing</w:t>
            </w:r>
          </w:p>
        </w:tc>
        <w:tc>
          <w:tcPr>
            <w:tcW w:w="904" w:type="dxa"/>
            <w:noWrap/>
            <w:vAlign w:val="center"/>
            <w:hideMark/>
          </w:tcPr>
          <w:p w14:paraId="37F4A295" w14:textId="44D22D4A" w:rsidR="00BE73FC" w:rsidRPr="00FD1246" w:rsidRDefault="00BE73FC" w:rsidP="008B0052">
            <w:pPr>
              <w:rPr>
                <w:sz w:val="20"/>
                <w:szCs w:val="20"/>
              </w:rPr>
            </w:pPr>
            <w:r w:rsidRPr="00FD1246">
              <w:rPr>
                <w:sz w:val="20"/>
                <w:szCs w:val="20"/>
              </w:rPr>
              <w:t>GB</w:t>
            </w:r>
          </w:p>
        </w:tc>
        <w:tc>
          <w:tcPr>
            <w:tcW w:w="3600" w:type="dxa"/>
            <w:noWrap/>
            <w:vAlign w:val="center"/>
            <w:hideMark/>
          </w:tcPr>
          <w:p w14:paraId="3F0DF6A9" w14:textId="77777777" w:rsidR="00BE73FC" w:rsidRPr="00FD1246" w:rsidRDefault="00BE73FC" w:rsidP="008B0052">
            <w:pPr>
              <w:rPr>
                <w:sz w:val="20"/>
                <w:szCs w:val="20"/>
              </w:rPr>
            </w:pPr>
            <w:r w:rsidRPr="00FD1246">
              <w:rPr>
                <w:sz w:val="20"/>
                <w:szCs w:val="20"/>
              </w:rPr>
              <w:t>Green bonds</w:t>
            </w:r>
          </w:p>
        </w:tc>
        <w:tc>
          <w:tcPr>
            <w:tcW w:w="1337" w:type="dxa"/>
            <w:noWrap/>
            <w:vAlign w:val="center"/>
            <w:hideMark/>
          </w:tcPr>
          <w:p w14:paraId="15BC84A5" w14:textId="77777777" w:rsidR="00BE73FC" w:rsidRPr="00FD1246" w:rsidRDefault="00BE73FC" w:rsidP="008B0052">
            <w:pPr>
              <w:jc w:val="center"/>
              <w:rPr>
                <w:sz w:val="20"/>
                <w:szCs w:val="20"/>
              </w:rPr>
            </w:pPr>
            <w:r w:rsidRPr="00FD1246">
              <w:rPr>
                <w:sz w:val="20"/>
                <w:szCs w:val="20"/>
              </w:rPr>
              <w:t>11</w:t>
            </w:r>
          </w:p>
        </w:tc>
        <w:tc>
          <w:tcPr>
            <w:tcW w:w="1210" w:type="dxa"/>
            <w:noWrap/>
            <w:vAlign w:val="center"/>
            <w:hideMark/>
          </w:tcPr>
          <w:p w14:paraId="7C3959D9" w14:textId="77777777" w:rsidR="00BE73FC" w:rsidRPr="00FD1246" w:rsidRDefault="00BE73FC" w:rsidP="008B0052">
            <w:pPr>
              <w:jc w:val="center"/>
              <w:rPr>
                <w:sz w:val="20"/>
                <w:szCs w:val="20"/>
              </w:rPr>
            </w:pPr>
            <w:r w:rsidRPr="00FD1246">
              <w:rPr>
                <w:sz w:val="20"/>
                <w:szCs w:val="20"/>
              </w:rPr>
              <w:t>67</w:t>
            </w:r>
          </w:p>
        </w:tc>
      </w:tr>
      <w:tr w:rsidR="00150BED" w:rsidRPr="00FD1246" w14:paraId="3D4798E7" w14:textId="77777777" w:rsidTr="00150BED">
        <w:trPr>
          <w:trHeight w:val="300"/>
        </w:trPr>
        <w:tc>
          <w:tcPr>
            <w:tcW w:w="1976" w:type="dxa"/>
            <w:vAlign w:val="center"/>
          </w:tcPr>
          <w:p w14:paraId="623B2654" w14:textId="45CC06F2" w:rsidR="00BE73FC" w:rsidRPr="00FD1246" w:rsidRDefault="007E5D76" w:rsidP="00150BED">
            <w:pPr>
              <w:rPr>
                <w:sz w:val="20"/>
                <w:szCs w:val="20"/>
              </w:rPr>
            </w:pPr>
            <w:r>
              <w:rPr>
                <w:sz w:val="20"/>
                <w:szCs w:val="20"/>
              </w:rPr>
              <w:t>Better delivery</w:t>
            </w:r>
          </w:p>
        </w:tc>
        <w:tc>
          <w:tcPr>
            <w:tcW w:w="904" w:type="dxa"/>
            <w:noWrap/>
            <w:vAlign w:val="center"/>
            <w:hideMark/>
          </w:tcPr>
          <w:p w14:paraId="5D1055AD" w14:textId="471DEDDE" w:rsidR="00BE73FC" w:rsidRPr="00FD1246" w:rsidRDefault="00BE73FC" w:rsidP="008B0052">
            <w:pPr>
              <w:rPr>
                <w:sz w:val="20"/>
                <w:szCs w:val="20"/>
              </w:rPr>
            </w:pPr>
            <w:r w:rsidRPr="00FD1246">
              <w:rPr>
                <w:sz w:val="20"/>
                <w:szCs w:val="20"/>
              </w:rPr>
              <w:t>ET</w:t>
            </w:r>
          </w:p>
        </w:tc>
        <w:tc>
          <w:tcPr>
            <w:tcW w:w="3600" w:type="dxa"/>
            <w:noWrap/>
            <w:vAlign w:val="center"/>
            <w:hideMark/>
          </w:tcPr>
          <w:p w14:paraId="56B3A3B7" w14:textId="77777777" w:rsidR="00BE73FC" w:rsidRPr="00FD1246" w:rsidRDefault="00BE73FC" w:rsidP="008B0052">
            <w:pPr>
              <w:rPr>
                <w:sz w:val="20"/>
                <w:szCs w:val="20"/>
              </w:rPr>
            </w:pPr>
            <w:r w:rsidRPr="00FD1246">
              <w:rPr>
                <w:sz w:val="20"/>
                <w:szCs w:val="20"/>
              </w:rPr>
              <w:t>Eco-tourism</w:t>
            </w:r>
          </w:p>
        </w:tc>
        <w:tc>
          <w:tcPr>
            <w:tcW w:w="1337" w:type="dxa"/>
            <w:noWrap/>
            <w:vAlign w:val="center"/>
            <w:hideMark/>
          </w:tcPr>
          <w:p w14:paraId="449C8377" w14:textId="77777777" w:rsidR="00BE73FC" w:rsidRPr="00FD1246" w:rsidRDefault="00BE73FC" w:rsidP="008B0052">
            <w:pPr>
              <w:jc w:val="center"/>
              <w:rPr>
                <w:sz w:val="20"/>
                <w:szCs w:val="20"/>
              </w:rPr>
            </w:pPr>
            <w:r w:rsidRPr="00FD1246">
              <w:rPr>
                <w:sz w:val="20"/>
                <w:szCs w:val="20"/>
              </w:rPr>
              <w:t>15</w:t>
            </w:r>
          </w:p>
        </w:tc>
        <w:tc>
          <w:tcPr>
            <w:tcW w:w="1210" w:type="dxa"/>
            <w:noWrap/>
            <w:vAlign w:val="center"/>
            <w:hideMark/>
          </w:tcPr>
          <w:p w14:paraId="436C39DB" w14:textId="77777777" w:rsidR="00BE73FC" w:rsidRPr="00FD1246" w:rsidRDefault="00BE73FC" w:rsidP="008B0052">
            <w:pPr>
              <w:jc w:val="center"/>
              <w:rPr>
                <w:sz w:val="20"/>
                <w:szCs w:val="20"/>
              </w:rPr>
            </w:pPr>
            <w:r w:rsidRPr="00FD1246">
              <w:rPr>
                <w:sz w:val="20"/>
                <w:szCs w:val="20"/>
              </w:rPr>
              <w:t>67</w:t>
            </w:r>
          </w:p>
        </w:tc>
      </w:tr>
      <w:tr w:rsidR="00150BED" w:rsidRPr="00FD1246" w14:paraId="54312975" w14:textId="77777777" w:rsidTr="00150BED">
        <w:trPr>
          <w:trHeight w:val="300"/>
        </w:trPr>
        <w:tc>
          <w:tcPr>
            <w:tcW w:w="1976" w:type="dxa"/>
            <w:vAlign w:val="center"/>
          </w:tcPr>
          <w:p w14:paraId="6090AE0E" w14:textId="0264D036" w:rsidR="00BE73FC" w:rsidRPr="00FD1246" w:rsidRDefault="0072400F" w:rsidP="00150BED">
            <w:pPr>
              <w:rPr>
                <w:sz w:val="20"/>
                <w:szCs w:val="20"/>
              </w:rPr>
            </w:pPr>
            <w:r w:rsidRPr="0072400F">
              <w:rPr>
                <w:sz w:val="20"/>
                <w:szCs w:val="20"/>
              </w:rPr>
              <w:t>New financing</w:t>
            </w:r>
          </w:p>
        </w:tc>
        <w:tc>
          <w:tcPr>
            <w:tcW w:w="904" w:type="dxa"/>
            <w:noWrap/>
            <w:vAlign w:val="center"/>
            <w:hideMark/>
          </w:tcPr>
          <w:p w14:paraId="7EC1A03E" w14:textId="123A45B3" w:rsidR="00BE73FC" w:rsidRPr="00FD1246" w:rsidRDefault="00BE73FC" w:rsidP="008B0052">
            <w:pPr>
              <w:rPr>
                <w:sz w:val="20"/>
                <w:szCs w:val="20"/>
              </w:rPr>
            </w:pPr>
            <w:r w:rsidRPr="00FD1246">
              <w:rPr>
                <w:sz w:val="20"/>
                <w:szCs w:val="20"/>
              </w:rPr>
              <w:t>CLP</w:t>
            </w:r>
          </w:p>
        </w:tc>
        <w:tc>
          <w:tcPr>
            <w:tcW w:w="3600" w:type="dxa"/>
            <w:noWrap/>
            <w:vAlign w:val="center"/>
            <w:hideMark/>
          </w:tcPr>
          <w:p w14:paraId="652D71EB" w14:textId="77777777" w:rsidR="00BE73FC" w:rsidRPr="00FD1246" w:rsidRDefault="00BE73FC" w:rsidP="008B0052">
            <w:pPr>
              <w:rPr>
                <w:sz w:val="20"/>
                <w:szCs w:val="20"/>
              </w:rPr>
            </w:pPr>
            <w:r w:rsidRPr="00FD1246">
              <w:rPr>
                <w:sz w:val="20"/>
                <w:szCs w:val="20"/>
              </w:rPr>
              <w:t>Conservation license plates</w:t>
            </w:r>
          </w:p>
        </w:tc>
        <w:tc>
          <w:tcPr>
            <w:tcW w:w="1337" w:type="dxa"/>
            <w:noWrap/>
            <w:vAlign w:val="center"/>
            <w:hideMark/>
          </w:tcPr>
          <w:p w14:paraId="1B7826E8" w14:textId="77777777" w:rsidR="00BE73FC" w:rsidRPr="00FD1246" w:rsidRDefault="00BE73FC" w:rsidP="008B0052">
            <w:pPr>
              <w:jc w:val="center"/>
              <w:rPr>
                <w:sz w:val="20"/>
                <w:szCs w:val="20"/>
              </w:rPr>
            </w:pPr>
            <w:r w:rsidRPr="00FD1246">
              <w:rPr>
                <w:sz w:val="20"/>
                <w:szCs w:val="20"/>
              </w:rPr>
              <w:t>12</w:t>
            </w:r>
          </w:p>
        </w:tc>
        <w:tc>
          <w:tcPr>
            <w:tcW w:w="1210" w:type="dxa"/>
            <w:noWrap/>
            <w:vAlign w:val="center"/>
            <w:hideMark/>
          </w:tcPr>
          <w:p w14:paraId="6B794049" w14:textId="77777777" w:rsidR="00BE73FC" w:rsidRPr="00FD1246" w:rsidRDefault="00BE73FC" w:rsidP="008B0052">
            <w:pPr>
              <w:jc w:val="center"/>
              <w:rPr>
                <w:sz w:val="20"/>
                <w:szCs w:val="20"/>
              </w:rPr>
            </w:pPr>
            <w:r w:rsidRPr="00FD1246">
              <w:rPr>
                <w:sz w:val="20"/>
                <w:szCs w:val="20"/>
              </w:rPr>
              <w:t>67</w:t>
            </w:r>
          </w:p>
        </w:tc>
      </w:tr>
      <w:tr w:rsidR="00150BED" w:rsidRPr="00FD1246" w14:paraId="1157DA89" w14:textId="77777777" w:rsidTr="00150BED">
        <w:trPr>
          <w:trHeight w:val="300"/>
        </w:trPr>
        <w:tc>
          <w:tcPr>
            <w:tcW w:w="1976" w:type="dxa"/>
            <w:vAlign w:val="center"/>
          </w:tcPr>
          <w:p w14:paraId="1E3F3F40" w14:textId="0F24C0A9" w:rsidR="00BE73FC" w:rsidRPr="00FD1246" w:rsidRDefault="007E5D76" w:rsidP="00150BED">
            <w:pPr>
              <w:rPr>
                <w:sz w:val="20"/>
                <w:szCs w:val="20"/>
              </w:rPr>
            </w:pPr>
            <w:r>
              <w:rPr>
                <w:sz w:val="20"/>
                <w:szCs w:val="20"/>
              </w:rPr>
              <w:t>Avoid spending</w:t>
            </w:r>
          </w:p>
        </w:tc>
        <w:tc>
          <w:tcPr>
            <w:tcW w:w="904" w:type="dxa"/>
            <w:noWrap/>
            <w:vAlign w:val="center"/>
            <w:hideMark/>
          </w:tcPr>
          <w:p w14:paraId="7D105008" w14:textId="29723A9C" w:rsidR="00BE73FC" w:rsidRPr="00FD1246" w:rsidRDefault="00BE73FC" w:rsidP="008B0052">
            <w:pPr>
              <w:rPr>
                <w:sz w:val="20"/>
                <w:szCs w:val="20"/>
              </w:rPr>
            </w:pPr>
            <w:r w:rsidRPr="00FD1246">
              <w:rPr>
                <w:sz w:val="20"/>
                <w:szCs w:val="20"/>
              </w:rPr>
              <w:t>CM</w:t>
            </w:r>
          </w:p>
        </w:tc>
        <w:tc>
          <w:tcPr>
            <w:tcW w:w="3600" w:type="dxa"/>
            <w:noWrap/>
            <w:vAlign w:val="center"/>
            <w:hideMark/>
          </w:tcPr>
          <w:p w14:paraId="75DB3DA3" w14:textId="77777777" w:rsidR="00BE73FC" w:rsidRPr="00FD1246" w:rsidRDefault="00BE73FC" w:rsidP="008B0052">
            <w:pPr>
              <w:rPr>
                <w:sz w:val="20"/>
                <w:szCs w:val="20"/>
              </w:rPr>
            </w:pPr>
            <w:r w:rsidRPr="00FD1246">
              <w:rPr>
                <w:sz w:val="20"/>
                <w:szCs w:val="20"/>
              </w:rPr>
              <w:t xml:space="preserve">Carbon markets </w:t>
            </w:r>
          </w:p>
        </w:tc>
        <w:tc>
          <w:tcPr>
            <w:tcW w:w="1337" w:type="dxa"/>
            <w:noWrap/>
            <w:vAlign w:val="center"/>
            <w:hideMark/>
          </w:tcPr>
          <w:p w14:paraId="76D8846E" w14:textId="77777777" w:rsidR="00BE73FC" w:rsidRPr="00FD1246" w:rsidRDefault="00BE73FC" w:rsidP="008B0052">
            <w:pPr>
              <w:jc w:val="center"/>
              <w:rPr>
                <w:sz w:val="20"/>
                <w:szCs w:val="20"/>
              </w:rPr>
            </w:pPr>
            <w:r w:rsidRPr="00FD1246">
              <w:rPr>
                <w:sz w:val="20"/>
                <w:szCs w:val="20"/>
              </w:rPr>
              <w:t>11</w:t>
            </w:r>
          </w:p>
        </w:tc>
        <w:tc>
          <w:tcPr>
            <w:tcW w:w="1210" w:type="dxa"/>
            <w:noWrap/>
            <w:vAlign w:val="center"/>
            <w:hideMark/>
          </w:tcPr>
          <w:p w14:paraId="6B5D77A7" w14:textId="77777777" w:rsidR="00BE73FC" w:rsidRPr="00FD1246" w:rsidRDefault="00BE73FC" w:rsidP="008B0052">
            <w:pPr>
              <w:jc w:val="center"/>
              <w:rPr>
                <w:sz w:val="20"/>
                <w:szCs w:val="20"/>
              </w:rPr>
            </w:pPr>
            <w:r w:rsidRPr="00FD1246">
              <w:rPr>
                <w:sz w:val="20"/>
                <w:szCs w:val="20"/>
              </w:rPr>
              <w:t>65</w:t>
            </w:r>
          </w:p>
        </w:tc>
      </w:tr>
      <w:tr w:rsidR="00150BED" w:rsidRPr="00FD1246" w14:paraId="1456253F" w14:textId="77777777" w:rsidTr="00150BED">
        <w:trPr>
          <w:trHeight w:val="242"/>
        </w:trPr>
        <w:tc>
          <w:tcPr>
            <w:tcW w:w="1976" w:type="dxa"/>
            <w:vAlign w:val="center"/>
          </w:tcPr>
          <w:p w14:paraId="37122015" w14:textId="05ADB410" w:rsidR="00BE73FC" w:rsidRPr="00FD1246" w:rsidRDefault="0072400F" w:rsidP="00150BED">
            <w:pPr>
              <w:rPr>
                <w:sz w:val="20"/>
                <w:szCs w:val="20"/>
              </w:rPr>
            </w:pPr>
            <w:r w:rsidRPr="0072400F">
              <w:rPr>
                <w:sz w:val="20"/>
                <w:szCs w:val="20"/>
              </w:rPr>
              <w:t>Re-alignment</w:t>
            </w:r>
          </w:p>
        </w:tc>
        <w:tc>
          <w:tcPr>
            <w:tcW w:w="904" w:type="dxa"/>
            <w:noWrap/>
            <w:vAlign w:val="center"/>
            <w:hideMark/>
          </w:tcPr>
          <w:p w14:paraId="726781D9" w14:textId="7B6A4626" w:rsidR="00BE73FC" w:rsidRPr="00FD1246" w:rsidRDefault="00BE73FC" w:rsidP="008B0052">
            <w:pPr>
              <w:rPr>
                <w:sz w:val="20"/>
                <w:szCs w:val="20"/>
              </w:rPr>
            </w:pPr>
            <w:r w:rsidRPr="00FD1246">
              <w:rPr>
                <w:sz w:val="20"/>
                <w:szCs w:val="20"/>
              </w:rPr>
              <w:t>LOB</w:t>
            </w:r>
          </w:p>
        </w:tc>
        <w:tc>
          <w:tcPr>
            <w:tcW w:w="3600" w:type="dxa"/>
            <w:noWrap/>
            <w:vAlign w:val="center"/>
            <w:hideMark/>
          </w:tcPr>
          <w:p w14:paraId="07ED57FF" w14:textId="77777777" w:rsidR="00BE73FC" w:rsidRPr="00FD1246" w:rsidRDefault="00BE73FC" w:rsidP="008B0052">
            <w:pPr>
              <w:rPr>
                <w:sz w:val="20"/>
                <w:szCs w:val="20"/>
              </w:rPr>
            </w:pPr>
            <w:r w:rsidRPr="00FD1246">
              <w:rPr>
                <w:sz w:val="20"/>
                <w:szCs w:val="20"/>
              </w:rPr>
              <w:t>Lobbying for public budget allocations</w:t>
            </w:r>
          </w:p>
        </w:tc>
        <w:tc>
          <w:tcPr>
            <w:tcW w:w="1337" w:type="dxa"/>
            <w:noWrap/>
            <w:vAlign w:val="center"/>
            <w:hideMark/>
          </w:tcPr>
          <w:p w14:paraId="37559659" w14:textId="77777777" w:rsidR="00BE73FC" w:rsidRPr="00FD1246" w:rsidRDefault="00BE73FC" w:rsidP="008B0052">
            <w:pPr>
              <w:jc w:val="center"/>
              <w:rPr>
                <w:sz w:val="20"/>
                <w:szCs w:val="20"/>
              </w:rPr>
            </w:pPr>
            <w:r w:rsidRPr="00FD1246">
              <w:rPr>
                <w:sz w:val="20"/>
                <w:szCs w:val="20"/>
              </w:rPr>
              <w:t>12</w:t>
            </w:r>
          </w:p>
        </w:tc>
        <w:tc>
          <w:tcPr>
            <w:tcW w:w="1210" w:type="dxa"/>
            <w:noWrap/>
            <w:vAlign w:val="center"/>
            <w:hideMark/>
          </w:tcPr>
          <w:p w14:paraId="69759D76" w14:textId="77777777" w:rsidR="00BE73FC" w:rsidRPr="00FD1246" w:rsidRDefault="00BE73FC" w:rsidP="008B0052">
            <w:pPr>
              <w:jc w:val="center"/>
              <w:rPr>
                <w:sz w:val="20"/>
                <w:szCs w:val="20"/>
              </w:rPr>
            </w:pPr>
            <w:r w:rsidRPr="00FD1246">
              <w:rPr>
                <w:sz w:val="20"/>
                <w:szCs w:val="20"/>
              </w:rPr>
              <w:t>61</w:t>
            </w:r>
          </w:p>
        </w:tc>
      </w:tr>
      <w:tr w:rsidR="00150BED" w:rsidRPr="00FD1246" w14:paraId="78E76067" w14:textId="77777777" w:rsidTr="00150BED">
        <w:trPr>
          <w:trHeight w:val="300"/>
        </w:trPr>
        <w:tc>
          <w:tcPr>
            <w:tcW w:w="1976" w:type="dxa"/>
            <w:tcBorders>
              <w:top w:val="single" w:sz="4" w:space="0" w:color="auto"/>
              <w:bottom w:val="single" w:sz="4" w:space="0" w:color="auto"/>
            </w:tcBorders>
            <w:vAlign w:val="center"/>
          </w:tcPr>
          <w:p w14:paraId="4E759256" w14:textId="74D8827C" w:rsidR="00BE73FC" w:rsidRPr="00FD1246" w:rsidRDefault="0072400F" w:rsidP="00150BED">
            <w:pPr>
              <w:rPr>
                <w:sz w:val="20"/>
                <w:szCs w:val="20"/>
              </w:rPr>
            </w:pPr>
            <w:r w:rsidRPr="0072400F">
              <w:rPr>
                <w:sz w:val="20"/>
                <w:szCs w:val="20"/>
              </w:rPr>
              <w:t>New financing</w:t>
            </w:r>
          </w:p>
        </w:tc>
        <w:tc>
          <w:tcPr>
            <w:tcW w:w="904" w:type="dxa"/>
            <w:tcBorders>
              <w:top w:val="single" w:sz="4" w:space="0" w:color="auto"/>
              <w:bottom w:val="single" w:sz="4" w:space="0" w:color="auto"/>
            </w:tcBorders>
            <w:noWrap/>
            <w:vAlign w:val="center"/>
            <w:hideMark/>
          </w:tcPr>
          <w:p w14:paraId="47DF9955" w14:textId="4D659E45" w:rsidR="00BE73FC" w:rsidRPr="00FD1246" w:rsidRDefault="00BE73FC" w:rsidP="002B3FF4">
            <w:pPr>
              <w:rPr>
                <w:sz w:val="20"/>
                <w:szCs w:val="20"/>
              </w:rPr>
            </w:pPr>
            <w:r w:rsidRPr="00FD1246">
              <w:rPr>
                <w:sz w:val="20"/>
                <w:szCs w:val="20"/>
              </w:rPr>
              <w:t>REM</w:t>
            </w:r>
          </w:p>
        </w:tc>
        <w:tc>
          <w:tcPr>
            <w:tcW w:w="3600" w:type="dxa"/>
            <w:tcBorders>
              <w:top w:val="single" w:sz="4" w:space="0" w:color="auto"/>
              <w:bottom w:val="single" w:sz="4" w:space="0" w:color="auto"/>
            </w:tcBorders>
            <w:noWrap/>
            <w:vAlign w:val="center"/>
            <w:hideMark/>
          </w:tcPr>
          <w:p w14:paraId="680A3B9A" w14:textId="77777777" w:rsidR="00BE73FC" w:rsidRPr="00FD1246" w:rsidRDefault="00BE73FC" w:rsidP="002B3FF4">
            <w:pPr>
              <w:rPr>
                <w:sz w:val="20"/>
                <w:szCs w:val="20"/>
              </w:rPr>
            </w:pPr>
            <w:r w:rsidRPr="00FD1246">
              <w:rPr>
                <w:sz w:val="20"/>
                <w:szCs w:val="20"/>
              </w:rPr>
              <w:t xml:space="preserve">Diaspora savings and Investment </w:t>
            </w:r>
          </w:p>
        </w:tc>
        <w:tc>
          <w:tcPr>
            <w:tcW w:w="1337" w:type="dxa"/>
            <w:tcBorders>
              <w:top w:val="single" w:sz="4" w:space="0" w:color="auto"/>
              <w:bottom w:val="single" w:sz="4" w:space="0" w:color="auto"/>
            </w:tcBorders>
            <w:noWrap/>
            <w:vAlign w:val="center"/>
            <w:hideMark/>
          </w:tcPr>
          <w:p w14:paraId="6B9D6819" w14:textId="77777777" w:rsidR="00BE73FC" w:rsidRPr="00FD1246" w:rsidRDefault="00BE73FC" w:rsidP="002B3FF4">
            <w:pPr>
              <w:jc w:val="center"/>
              <w:rPr>
                <w:sz w:val="20"/>
                <w:szCs w:val="20"/>
              </w:rPr>
            </w:pPr>
            <w:r w:rsidRPr="00FD1246">
              <w:rPr>
                <w:sz w:val="20"/>
                <w:szCs w:val="20"/>
              </w:rPr>
              <w:t>11</w:t>
            </w:r>
          </w:p>
        </w:tc>
        <w:tc>
          <w:tcPr>
            <w:tcW w:w="1210" w:type="dxa"/>
            <w:tcBorders>
              <w:top w:val="single" w:sz="4" w:space="0" w:color="auto"/>
              <w:bottom w:val="single" w:sz="4" w:space="0" w:color="auto"/>
            </w:tcBorders>
            <w:noWrap/>
            <w:vAlign w:val="center"/>
            <w:hideMark/>
          </w:tcPr>
          <w:p w14:paraId="10AF692B" w14:textId="77777777" w:rsidR="00BE73FC" w:rsidRPr="00FD1246" w:rsidRDefault="00BE73FC" w:rsidP="002B3FF4">
            <w:pPr>
              <w:jc w:val="center"/>
              <w:rPr>
                <w:sz w:val="20"/>
                <w:szCs w:val="20"/>
              </w:rPr>
            </w:pPr>
            <w:r w:rsidRPr="00FD1246">
              <w:rPr>
                <w:sz w:val="20"/>
                <w:szCs w:val="20"/>
              </w:rPr>
              <w:t>61</w:t>
            </w:r>
          </w:p>
        </w:tc>
      </w:tr>
      <w:tr w:rsidR="00150BED" w:rsidRPr="00FD1246" w14:paraId="7A6AA0AB" w14:textId="77777777" w:rsidTr="00150BED">
        <w:trPr>
          <w:trHeight w:val="300"/>
        </w:trPr>
        <w:tc>
          <w:tcPr>
            <w:tcW w:w="1976" w:type="dxa"/>
            <w:tcBorders>
              <w:bottom w:val="single" w:sz="4" w:space="0" w:color="auto"/>
            </w:tcBorders>
            <w:vAlign w:val="center"/>
          </w:tcPr>
          <w:p w14:paraId="18E215B4" w14:textId="08861AB8" w:rsidR="00BE73FC" w:rsidRPr="00FD1246" w:rsidRDefault="0072400F" w:rsidP="00150BED">
            <w:pPr>
              <w:rPr>
                <w:sz w:val="20"/>
                <w:szCs w:val="20"/>
              </w:rPr>
            </w:pPr>
            <w:r w:rsidRPr="0072400F">
              <w:rPr>
                <w:sz w:val="20"/>
                <w:szCs w:val="20"/>
              </w:rPr>
              <w:t>Re-alignment</w:t>
            </w:r>
          </w:p>
        </w:tc>
        <w:tc>
          <w:tcPr>
            <w:tcW w:w="904" w:type="dxa"/>
            <w:tcBorders>
              <w:bottom w:val="single" w:sz="4" w:space="0" w:color="auto"/>
            </w:tcBorders>
            <w:noWrap/>
            <w:vAlign w:val="center"/>
            <w:hideMark/>
          </w:tcPr>
          <w:p w14:paraId="5F6A3E29" w14:textId="0F7BBBD8" w:rsidR="00BE73FC" w:rsidRPr="00FD1246" w:rsidRDefault="00BE73FC" w:rsidP="008B0052">
            <w:pPr>
              <w:rPr>
                <w:sz w:val="20"/>
                <w:szCs w:val="20"/>
              </w:rPr>
            </w:pPr>
            <w:r w:rsidRPr="00FD1246">
              <w:rPr>
                <w:sz w:val="20"/>
                <w:szCs w:val="20"/>
              </w:rPr>
              <w:t>EC</w:t>
            </w:r>
          </w:p>
        </w:tc>
        <w:tc>
          <w:tcPr>
            <w:tcW w:w="3600" w:type="dxa"/>
            <w:tcBorders>
              <w:bottom w:val="single" w:sz="4" w:space="0" w:color="auto"/>
            </w:tcBorders>
            <w:noWrap/>
            <w:vAlign w:val="center"/>
            <w:hideMark/>
          </w:tcPr>
          <w:p w14:paraId="09DF96B8" w14:textId="77777777" w:rsidR="00BE73FC" w:rsidRPr="00FD1246" w:rsidRDefault="00BE73FC" w:rsidP="008B0052">
            <w:pPr>
              <w:rPr>
                <w:sz w:val="20"/>
                <w:szCs w:val="20"/>
              </w:rPr>
            </w:pPr>
            <w:r w:rsidRPr="00FD1246">
              <w:rPr>
                <w:sz w:val="20"/>
                <w:szCs w:val="20"/>
              </w:rPr>
              <w:t xml:space="preserve">Revenue from environmental penalties </w:t>
            </w:r>
          </w:p>
        </w:tc>
        <w:tc>
          <w:tcPr>
            <w:tcW w:w="1337" w:type="dxa"/>
            <w:tcBorders>
              <w:bottom w:val="single" w:sz="4" w:space="0" w:color="auto"/>
            </w:tcBorders>
            <w:noWrap/>
            <w:vAlign w:val="center"/>
            <w:hideMark/>
          </w:tcPr>
          <w:p w14:paraId="61A5D2EE" w14:textId="77777777" w:rsidR="00BE73FC" w:rsidRPr="00FD1246" w:rsidRDefault="00BE73FC" w:rsidP="008B0052">
            <w:pPr>
              <w:jc w:val="center"/>
              <w:rPr>
                <w:sz w:val="20"/>
                <w:szCs w:val="20"/>
              </w:rPr>
            </w:pPr>
            <w:r w:rsidRPr="00FD1246">
              <w:rPr>
                <w:sz w:val="20"/>
                <w:szCs w:val="20"/>
              </w:rPr>
              <w:t>11</w:t>
            </w:r>
          </w:p>
        </w:tc>
        <w:tc>
          <w:tcPr>
            <w:tcW w:w="1210" w:type="dxa"/>
            <w:tcBorders>
              <w:bottom w:val="single" w:sz="4" w:space="0" w:color="auto"/>
            </w:tcBorders>
            <w:noWrap/>
            <w:vAlign w:val="center"/>
            <w:hideMark/>
          </w:tcPr>
          <w:p w14:paraId="3199D63E" w14:textId="77777777" w:rsidR="00BE73FC" w:rsidRPr="00FD1246" w:rsidRDefault="00BE73FC" w:rsidP="008B0052">
            <w:pPr>
              <w:jc w:val="center"/>
              <w:rPr>
                <w:sz w:val="20"/>
                <w:szCs w:val="20"/>
              </w:rPr>
            </w:pPr>
            <w:r w:rsidRPr="00FD1246">
              <w:rPr>
                <w:sz w:val="20"/>
                <w:szCs w:val="20"/>
              </w:rPr>
              <w:t>58</w:t>
            </w:r>
          </w:p>
        </w:tc>
      </w:tr>
    </w:tbl>
    <w:p w14:paraId="6A349C69" w14:textId="77777777" w:rsidR="00AA66E3" w:rsidRDefault="00AA66E3" w:rsidP="00437B03">
      <w:pPr>
        <w:jc w:val="both"/>
      </w:pPr>
    </w:p>
    <w:p w14:paraId="70DC3CC4" w14:textId="77777777" w:rsidR="00A541CA" w:rsidRDefault="00A541CA"/>
    <w:p w14:paraId="55AB759A" w14:textId="77777777" w:rsidR="00A541CA" w:rsidRPr="00300A03" w:rsidRDefault="00A541CA" w:rsidP="00A541CA">
      <w:pPr>
        <w:pStyle w:val="Heading3"/>
      </w:pPr>
      <w:bookmarkStart w:id="17" w:name="_Toc526876308"/>
      <w:r w:rsidRPr="00300A03">
        <w:t>Linking the goals</w:t>
      </w:r>
      <w:r>
        <w:t>, objectives</w:t>
      </w:r>
      <w:r w:rsidRPr="00300A03">
        <w:t xml:space="preserve"> and targets</w:t>
      </w:r>
      <w:bookmarkEnd w:id="17"/>
    </w:p>
    <w:p w14:paraId="2F515586" w14:textId="2DCB6FFC" w:rsidR="00A541CA" w:rsidRDefault="00A541CA" w:rsidP="00A541CA">
      <w:r>
        <w:t>As per given resource mobilization target range, the minimum and maximum levels of potential financial targets as well as their averages were calculated (Table 4). The sub-total for the different categories of financial results are also presented. Accordingly, the aggregate resource mobilization target would be LKR 20.0 billion (US$ 111 million) as minimum and, LKR 46.7 billion (US$ 259 million) as maximum. The average resource mobilization target is estimated as LKR 33.3 billion (US$ 185 million), which is close to the biodiversity finance gap estimated in the FNA report.</w:t>
      </w:r>
    </w:p>
    <w:p w14:paraId="7093E49F" w14:textId="77777777" w:rsidR="00A541CA" w:rsidRDefault="00A541CA" w:rsidP="00A541CA"/>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5"/>
        <w:gridCol w:w="5492"/>
      </w:tblGrid>
      <w:tr w:rsidR="00F56999" w:rsidRPr="00733AAA" w14:paraId="28F54A84" w14:textId="77777777" w:rsidTr="00A541CA">
        <w:trPr>
          <w:trHeight w:val="440"/>
        </w:trPr>
        <w:tc>
          <w:tcPr>
            <w:tcW w:w="9027" w:type="dxa"/>
            <w:gridSpan w:val="2"/>
            <w:tcBorders>
              <w:top w:val="nil"/>
              <w:bottom w:val="nil"/>
            </w:tcBorders>
            <w:vAlign w:val="center"/>
          </w:tcPr>
          <w:p w14:paraId="506FCC2D" w14:textId="463962F6" w:rsidR="008A0C96" w:rsidRDefault="00A541CA" w:rsidP="00FF6715">
            <w:r>
              <w:rPr>
                <w:lang w:val="en-US" w:bidi="ar-SA"/>
              </w:rPr>
              <w:br w:type="page"/>
            </w:r>
          </w:p>
          <w:tbl>
            <w:tblPr>
              <w:tblW w:w="8801" w:type="dxa"/>
              <w:tblBorders>
                <w:insideH w:val="single" w:sz="4" w:space="0" w:color="auto"/>
              </w:tblBorders>
              <w:tblLook w:val="04A0" w:firstRow="1" w:lastRow="0" w:firstColumn="1" w:lastColumn="0" w:noHBand="0" w:noVBand="1"/>
            </w:tblPr>
            <w:tblGrid>
              <w:gridCol w:w="868"/>
              <w:gridCol w:w="3879"/>
              <w:gridCol w:w="932"/>
              <w:gridCol w:w="937"/>
              <w:gridCol w:w="1075"/>
              <w:gridCol w:w="1110"/>
            </w:tblGrid>
            <w:tr w:rsidR="0065491B" w:rsidRPr="00795412" w14:paraId="5D1942D9" w14:textId="77777777" w:rsidTr="00C42770">
              <w:trPr>
                <w:trHeight w:val="300"/>
              </w:trPr>
              <w:tc>
                <w:tcPr>
                  <w:tcW w:w="8801" w:type="dxa"/>
                  <w:gridSpan w:val="6"/>
                  <w:shd w:val="clear" w:color="auto" w:fill="auto"/>
                  <w:noWrap/>
                  <w:vAlign w:val="center"/>
                  <w:hideMark/>
                </w:tcPr>
                <w:p w14:paraId="6DEAA06C" w14:textId="134B19DE" w:rsidR="0065491B" w:rsidRPr="00795412" w:rsidRDefault="0065491B" w:rsidP="00C42770">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 xml:space="preserve">Table 4: </w:t>
                  </w:r>
                  <w:r w:rsidRPr="00795412">
                    <w:rPr>
                      <w:rFonts w:ascii="Calibri" w:eastAsia="Times New Roman" w:hAnsi="Calibri" w:cs="Times New Roman"/>
                      <w:color w:val="000000"/>
                    </w:rPr>
                    <w:t>Resource Mobilization Targets as per Assessment (LKR billion)</w:t>
                  </w:r>
                </w:p>
              </w:tc>
            </w:tr>
            <w:tr w:rsidR="0065491B" w:rsidRPr="00795412" w14:paraId="2D5286AB" w14:textId="77777777" w:rsidTr="00C42770">
              <w:trPr>
                <w:trHeight w:val="422"/>
              </w:trPr>
              <w:tc>
                <w:tcPr>
                  <w:tcW w:w="868" w:type="dxa"/>
                  <w:shd w:val="clear" w:color="auto" w:fill="auto"/>
                  <w:noWrap/>
                  <w:vAlign w:val="center"/>
                  <w:hideMark/>
                </w:tcPr>
                <w:p w14:paraId="2D26632A"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CODE</w:t>
                  </w:r>
                </w:p>
              </w:tc>
              <w:tc>
                <w:tcPr>
                  <w:tcW w:w="3879" w:type="dxa"/>
                  <w:shd w:val="clear" w:color="auto" w:fill="auto"/>
                  <w:noWrap/>
                  <w:vAlign w:val="center"/>
                  <w:hideMark/>
                </w:tcPr>
                <w:p w14:paraId="34B6FE0D" w14:textId="065F55CB" w:rsidR="00795412" w:rsidRPr="00795412" w:rsidRDefault="001D5995" w:rsidP="00C42770">
                  <w:pPr>
                    <w:spacing w:after="0" w:line="240" w:lineRule="auto"/>
                    <w:rPr>
                      <w:rFonts w:ascii="Calibri" w:eastAsia="Times New Roman" w:hAnsi="Calibri" w:cs="Times New Roman"/>
                      <w:color w:val="000000"/>
                    </w:rPr>
                  </w:pPr>
                  <w:r>
                    <w:rPr>
                      <w:rFonts w:ascii="Calibri" w:eastAsia="Times New Roman" w:hAnsi="Calibri" w:cs="Times New Roman"/>
                      <w:color w:val="000000"/>
                    </w:rPr>
                    <w:t>FINANCE SOLUTIONS</w:t>
                  </w:r>
                </w:p>
              </w:tc>
              <w:tc>
                <w:tcPr>
                  <w:tcW w:w="932" w:type="dxa"/>
                  <w:shd w:val="clear" w:color="auto" w:fill="auto"/>
                  <w:noWrap/>
                  <w:vAlign w:val="center"/>
                  <w:hideMark/>
                </w:tcPr>
                <w:p w14:paraId="6B3D109C"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w:t>
                  </w:r>
                </w:p>
              </w:tc>
              <w:tc>
                <w:tcPr>
                  <w:tcW w:w="937" w:type="dxa"/>
                  <w:shd w:val="clear" w:color="auto" w:fill="auto"/>
                  <w:noWrap/>
                  <w:vAlign w:val="center"/>
                  <w:hideMark/>
                </w:tcPr>
                <w:p w14:paraId="20B33359" w14:textId="77777777" w:rsidR="00795412" w:rsidRPr="00795412" w:rsidRDefault="00795412" w:rsidP="00C42770">
                  <w:pPr>
                    <w:spacing w:after="0" w:line="240" w:lineRule="auto"/>
                    <w:rPr>
                      <w:rFonts w:ascii="Calibri" w:eastAsia="Times New Roman" w:hAnsi="Calibri" w:cs="Times New Roman"/>
                      <w:color w:val="000000"/>
                      <w:sz w:val="20"/>
                    </w:rPr>
                  </w:pPr>
                  <w:r w:rsidRPr="00795412">
                    <w:rPr>
                      <w:rFonts w:ascii="Calibri" w:eastAsia="Times New Roman" w:hAnsi="Calibri" w:cs="Times New Roman"/>
                      <w:color w:val="000000"/>
                      <w:sz w:val="20"/>
                    </w:rPr>
                    <w:t>Average</w:t>
                  </w:r>
                </w:p>
              </w:tc>
              <w:tc>
                <w:tcPr>
                  <w:tcW w:w="1075" w:type="dxa"/>
                  <w:shd w:val="clear" w:color="auto" w:fill="auto"/>
                  <w:noWrap/>
                  <w:vAlign w:val="center"/>
                  <w:hideMark/>
                </w:tcPr>
                <w:p w14:paraId="15C5AEC8" w14:textId="77777777" w:rsidR="00795412" w:rsidRPr="00795412" w:rsidRDefault="00795412" w:rsidP="00C42770">
                  <w:pPr>
                    <w:spacing w:after="0" w:line="240" w:lineRule="auto"/>
                    <w:rPr>
                      <w:rFonts w:ascii="Calibri" w:eastAsia="Times New Roman" w:hAnsi="Calibri" w:cs="Times New Roman"/>
                      <w:color w:val="000000"/>
                      <w:sz w:val="20"/>
                    </w:rPr>
                  </w:pPr>
                  <w:r w:rsidRPr="00795412">
                    <w:rPr>
                      <w:rFonts w:ascii="Calibri" w:eastAsia="Times New Roman" w:hAnsi="Calibri" w:cs="Times New Roman"/>
                      <w:color w:val="000000"/>
                      <w:sz w:val="20"/>
                    </w:rPr>
                    <w:t>Minimum</w:t>
                  </w:r>
                </w:p>
              </w:tc>
              <w:tc>
                <w:tcPr>
                  <w:tcW w:w="1110" w:type="dxa"/>
                  <w:shd w:val="clear" w:color="auto" w:fill="auto"/>
                  <w:noWrap/>
                  <w:vAlign w:val="center"/>
                  <w:hideMark/>
                </w:tcPr>
                <w:p w14:paraId="5BCEF324" w14:textId="77777777" w:rsidR="00795412" w:rsidRPr="00795412" w:rsidRDefault="00795412" w:rsidP="00C42770">
                  <w:pPr>
                    <w:spacing w:after="0" w:line="240" w:lineRule="auto"/>
                    <w:rPr>
                      <w:rFonts w:ascii="Calibri" w:eastAsia="Times New Roman" w:hAnsi="Calibri" w:cs="Times New Roman"/>
                      <w:color w:val="000000"/>
                      <w:sz w:val="20"/>
                    </w:rPr>
                  </w:pPr>
                  <w:r w:rsidRPr="00795412">
                    <w:rPr>
                      <w:rFonts w:ascii="Calibri" w:eastAsia="Times New Roman" w:hAnsi="Calibri" w:cs="Times New Roman"/>
                      <w:color w:val="000000"/>
                      <w:sz w:val="20"/>
                    </w:rPr>
                    <w:t>Maximum</w:t>
                  </w:r>
                </w:p>
              </w:tc>
            </w:tr>
            <w:tr w:rsidR="0065491B" w:rsidRPr="00795412" w14:paraId="10256FFE" w14:textId="77777777" w:rsidTr="00C42770">
              <w:trPr>
                <w:trHeight w:val="300"/>
              </w:trPr>
              <w:tc>
                <w:tcPr>
                  <w:tcW w:w="868" w:type="dxa"/>
                  <w:shd w:val="clear" w:color="auto" w:fill="auto"/>
                  <w:noWrap/>
                  <w:vAlign w:val="center"/>
                  <w:hideMark/>
                </w:tcPr>
                <w:p w14:paraId="520518C0"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LOT</w:t>
                  </w:r>
                </w:p>
              </w:tc>
              <w:tc>
                <w:tcPr>
                  <w:tcW w:w="3879" w:type="dxa"/>
                  <w:shd w:val="clear" w:color="auto" w:fill="auto"/>
                  <w:noWrap/>
                  <w:vAlign w:val="center"/>
                  <w:hideMark/>
                </w:tcPr>
                <w:p w14:paraId="2893544B"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Lotteries</w:t>
                  </w:r>
                </w:p>
              </w:tc>
              <w:tc>
                <w:tcPr>
                  <w:tcW w:w="932" w:type="dxa"/>
                  <w:shd w:val="clear" w:color="auto" w:fill="auto"/>
                  <w:noWrap/>
                  <w:vAlign w:val="center"/>
                  <w:hideMark/>
                </w:tcPr>
                <w:p w14:paraId="37159338"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2&lt;5</w:t>
                  </w:r>
                </w:p>
              </w:tc>
              <w:tc>
                <w:tcPr>
                  <w:tcW w:w="937" w:type="dxa"/>
                  <w:shd w:val="clear" w:color="auto" w:fill="auto"/>
                  <w:noWrap/>
                  <w:vAlign w:val="center"/>
                  <w:hideMark/>
                </w:tcPr>
                <w:p w14:paraId="51BD9A3E"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1.1</w:t>
                  </w:r>
                </w:p>
              </w:tc>
              <w:tc>
                <w:tcPr>
                  <w:tcW w:w="1075" w:type="dxa"/>
                  <w:shd w:val="clear" w:color="auto" w:fill="auto"/>
                  <w:noWrap/>
                  <w:vAlign w:val="center"/>
                  <w:hideMark/>
                </w:tcPr>
                <w:p w14:paraId="71D320A0"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0.6</w:t>
                  </w:r>
                </w:p>
              </w:tc>
              <w:tc>
                <w:tcPr>
                  <w:tcW w:w="1110" w:type="dxa"/>
                  <w:shd w:val="clear" w:color="auto" w:fill="auto"/>
                  <w:noWrap/>
                  <w:vAlign w:val="center"/>
                  <w:hideMark/>
                </w:tcPr>
                <w:p w14:paraId="4B978DBD"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1.5</w:t>
                  </w:r>
                </w:p>
              </w:tc>
            </w:tr>
            <w:tr w:rsidR="0065491B" w:rsidRPr="00795412" w14:paraId="03E69225" w14:textId="77777777" w:rsidTr="00C42770">
              <w:trPr>
                <w:trHeight w:val="300"/>
              </w:trPr>
              <w:tc>
                <w:tcPr>
                  <w:tcW w:w="868" w:type="dxa"/>
                  <w:shd w:val="clear" w:color="auto" w:fill="auto"/>
                  <w:noWrap/>
                  <w:vAlign w:val="center"/>
                  <w:hideMark/>
                </w:tcPr>
                <w:p w14:paraId="07461F12"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PES</w:t>
                  </w:r>
                </w:p>
              </w:tc>
              <w:tc>
                <w:tcPr>
                  <w:tcW w:w="3879" w:type="dxa"/>
                  <w:shd w:val="clear" w:color="auto" w:fill="auto"/>
                  <w:noWrap/>
                  <w:vAlign w:val="center"/>
                  <w:hideMark/>
                </w:tcPr>
                <w:p w14:paraId="2822A712"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Payment for Ecosystem Services</w:t>
                  </w:r>
                </w:p>
              </w:tc>
              <w:tc>
                <w:tcPr>
                  <w:tcW w:w="932" w:type="dxa"/>
                  <w:shd w:val="clear" w:color="auto" w:fill="auto"/>
                  <w:noWrap/>
                  <w:vAlign w:val="center"/>
                  <w:hideMark/>
                </w:tcPr>
                <w:p w14:paraId="5470137D"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2&lt;5</w:t>
                  </w:r>
                </w:p>
              </w:tc>
              <w:tc>
                <w:tcPr>
                  <w:tcW w:w="937" w:type="dxa"/>
                  <w:shd w:val="clear" w:color="auto" w:fill="auto"/>
                  <w:noWrap/>
                  <w:vAlign w:val="center"/>
                  <w:hideMark/>
                </w:tcPr>
                <w:p w14:paraId="6AA873DB"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1.1</w:t>
                  </w:r>
                </w:p>
              </w:tc>
              <w:tc>
                <w:tcPr>
                  <w:tcW w:w="1075" w:type="dxa"/>
                  <w:shd w:val="clear" w:color="auto" w:fill="auto"/>
                  <w:noWrap/>
                  <w:vAlign w:val="center"/>
                  <w:hideMark/>
                </w:tcPr>
                <w:p w14:paraId="5B718368"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0.6</w:t>
                  </w:r>
                </w:p>
              </w:tc>
              <w:tc>
                <w:tcPr>
                  <w:tcW w:w="1110" w:type="dxa"/>
                  <w:shd w:val="clear" w:color="auto" w:fill="auto"/>
                  <w:noWrap/>
                  <w:vAlign w:val="center"/>
                  <w:hideMark/>
                </w:tcPr>
                <w:p w14:paraId="2CCB075F"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1.5</w:t>
                  </w:r>
                </w:p>
              </w:tc>
            </w:tr>
            <w:tr w:rsidR="0065491B" w:rsidRPr="00795412" w14:paraId="6938108C" w14:textId="77777777" w:rsidTr="00C42770">
              <w:trPr>
                <w:trHeight w:val="300"/>
              </w:trPr>
              <w:tc>
                <w:tcPr>
                  <w:tcW w:w="868" w:type="dxa"/>
                  <w:shd w:val="clear" w:color="auto" w:fill="auto"/>
                  <w:noWrap/>
                  <w:vAlign w:val="center"/>
                  <w:hideMark/>
                </w:tcPr>
                <w:p w14:paraId="3F81459F"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GB</w:t>
                  </w:r>
                </w:p>
              </w:tc>
              <w:tc>
                <w:tcPr>
                  <w:tcW w:w="3879" w:type="dxa"/>
                  <w:shd w:val="clear" w:color="auto" w:fill="auto"/>
                  <w:noWrap/>
                  <w:vAlign w:val="center"/>
                  <w:hideMark/>
                </w:tcPr>
                <w:p w14:paraId="5D58B6BB"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Green bonds</w:t>
                  </w:r>
                </w:p>
              </w:tc>
              <w:tc>
                <w:tcPr>
                  <w:tcW w:w="932" w:type="dxa"/>
                  <w:shd w:val="clear" w:color="auto" w:fill="auto"/>
                  <w:noWrap/>
                  <w:vAlign w:val="center"/>
                  <w:hideMark/>
                </w:tcPr>
                <w:p w14:paraId="2F671933"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15&lt;25</w:t>
                  </w:r>
                </w:p>
              </w:tc>
              <w:tc>
                <w:tcPr>
                  <w:tcW w:w="937" w:type="dxa"/>
                  <w:shd w:val="clear" w:color="auto" w:fill="auto"/>
                  <w:noWrap/>
                  <w:vAlign w:val="center"/>
                  <w:hideMark/>
                </w:tcPr>
                <w:p w14:paraId="213E7745"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6.1</w:t>
                  </w:r>
                </w:p>
              </w:tc>
              <w:tc>
                <w:tcPr>
                  <w:tcW w:w="1075" w:type="dxa"/>
                  <w:shd w:val="clear" w:color="auto" w:fill="auto"/>
                  <w:noWrap/>
                  <w:vAlign w:val="center"/>
                  <w:hideMark/>
                </w:tcPr>
                <w:p w14:paraId="74725F51"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4.6</w:t>
                  </w:r>
                </w:p>
              </w:tc>
              <w:tc>
                <w:tcPr>
                  <w:tcW w:w="1110" w:type="dxa"/>
                  <w:shd w:val="clear" w:color="auto" w:fill="auto"/>
                  <w:noWrap/>
                  <w:vAlign w:val="center"/>
                  <w:hideMark/>
                </w:tcPr>
                <w:p w14:paraId="62BF8AAE"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7.7</w:t>
                  </w:r>
                </w:p>
              </w:tc>
            </w:tr>
            <w:tr w:rsidR="0065491B" w:rsidRPr="00795412" w14:paraId="2F2E58D4" w14:textId="77777777" w:rsidTr="00C42770">
              <w:trPr>
                <w:trHeight w:val="300"/>
              </w:trPr>
              <w:tc>
                <w:tcPr>
                  <w:tcW w:w="868" w:type="dxa"/>
                  <w:shd w:val="clear" w:color="auto" w:fill="auto"/>
                  <w:noWrap/>
                  <w:vAlign w:val="center"/>
                  <w:hideMark/>
                </w:tcPr>
                <w:p w14:paraId="26DFB4CF"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CLP</w:t>
                  </w:r>
                </w:p>
              </w:tc>
              <w:tc>
                <w:tcPr>
                  <w:tcW w:w="3879" w:type="dxa"/>
                  <w:shd w:val="clear" w:color="auto" w:fill="auto"/>
                  <w:noWrap/>
                  <w:vAlign w:val="center"/>
                  <w:hideMark/>
                </w:tcPr>
                <w:p w14:paraId="6F283CE4"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Conservation license plates</w:t>
                  </w:r>
                </w:p>
              </w:tc>
              <w:tc>
                <w:tcPr>
                  <w:tcW w:w="932" w:type="dxa"/>
                  <w:shd w:val="clear" w:color="auto" w:fill="auto"/>
                  <w:noWrap/>
                  <w:vAlign w:val="center"/>
                  <w:hideMark/>
                </w:tcPr>
                <w:p w14:paraId="75B4F2E8"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0.1&lt;2</w:t>
                  </w:r>
                </w:p>
              </w:tc>
              <w:tc>
                <w:tcPr>
                  <w:tcW w:w="937" w:type="dxa"/>
                  <w:shd w:val="clear" w:color="auto" w:fill="auto"/>
                  <w:noWrap/>
                  <w:vAlign w:val="center"/>
                  <w:hideMark/>
                </w:tcPr>
                <w:p w14:paraId="39D7A6B1"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0.3</w:t>
                  </w:r>
                </w:p>
              </w:tc>
              <w:tc>
                <w:tcPr>
                  <w:tcW w:w="1075" w:type="dxa"/>
                  <w:shd w:val="clear" w:color="auto" w:fill="auto"/>
                  <w:noWrap/>
                  <w:vAlign w:val="center"/>
                  <w:hideMark/>
                </w:tcPr>
                <w:p w14:paraId="2122AA3F"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0.0</w:t>
                  </w:r>
                </w:p>
              </w:tc>
              <w:tc>
                <w:tcPr>
                  <w:tcW w:w="1110" w:type="dxa"/>
                  <w:shd w:val="clear" w:color="auto" w:fill="auto"/>
                  <w:noWrap/>
                  <w:vAlign w:val="center"/>
                  <w:hideMark/>
                </w:tcPr>
                <w:p w14:paraId="49E9F37A"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0.6</w:t>
                  </w:r>
                </w:p>
              </w:tc>
            </w:tr>
            <w:tr w:rsidR="0065491B" w:rsidRPr="00795412" w14:paraId="4BF1D3F0" w14:textId="77777777" w:rsidTr="00C42770">
              <w:trPr>
                <w:trHeight w:val="300"/>
              </w:trPr>
              <w:tc>
                <w:tcPr>
                  <w:tcW w:w="868" w:type="dxa"/>
                  <w:shd w:val="clear" w:color="auto" w:fill="auto"/>
                  <w:noWrap/>
                  <w:vAlign w:val="center"/>
                  <w:hideMark/>
                </w:tcPr>
                <w:p w14:paraId="201277C3" w14:textId="77777777" w:rsidR="00795412" w:rsidRPr="00795412" w:rsidRDefault="00795412" w:rsidP="00C42770">
                  <w:pPr>
                    <w:spacing w:after="0" w:line="240" w:lineRule="auto"/>
                    <w:rPr>
                      <w:rFonts w:ascii="Calibri" w:eastAsia="Times New Roman" w:hAnsi="Calibri" w:cs="Times New Roman"/>
                    </w:rPr>
                  </w:pPr>
                  <w:r w:rsidRPr="00795412">
                    <w:rPr>
                      <w:rFonts w:ascii="Calibri" w:eastAsia="Times New Roman" w:hAnsi="Calibri" w:cs="Times New Roman"/>
                    </w:rPr>
                    <w:t>REM</w:t>
                  </w:r>
                </w:p>
              </w:tc>
              <w:tc>
                <w:tcPr>
                  <w:tcW w:w="3879" w:type="dxa"/>
                  <w:shd w:val="clear" w:color="auto" w:fill="auto"/>
                  <w:noWrap/>
                  <w:vAlign w:val="center"/>
                  <w:hideMark/>
                </w:tcPr>
                <w:p w14:paraId="7F8936E6" w14:textId="77777777" w:rsidR="00795412" w:rsidRPr="00795412" w:rsidRDefault="00795412" w:rsidP="00C42770">
                  <w:pPr>
                    <w:spacing w:after="0" w:line="240" w:lineRule="auto"/>
                    <w:rPr>
                      <w:rFonts w:ascii="Calibri" w:eastAsia="Times New Roman" w:hAnsi="Calibri" w:cs="Times New Roman"/>
                    </w:rPr>
                  </w:pPr>
                  <w:r w:rsidRPr="00795412">
                    <w:rPr>
                      <w:rFonts w:ascii="Calibri" w:eastAsia="Times New Roman" w:hAnsi="Calibri" w:cs="Times New Roman"/>
                    </w:rPr>
                    <w:t xml:space="preserve">Diaspora savings and Investment </w:t>
                  </w:r>
                </w:p>
              </w:tc>
              <w:tc>
                <w:tcPr>
                  <w:tcW w:w="932" w:type="dxa"/>
                  <w:shd w:val="clear" w:color="auto" w:fill="auto"/>
                  <w:noWrap/>
                  <w:vAlign w:val="center"/>
                  <w:hideMark/>
                </w:tcPr>
                <w:p w14:paraId="4E0C0533" w14:textId="77777777" w:rsidR="00795412" w:rsidRPr="00795412" w:rsidRDefault="00795412" w:rsidP="00C42770">
                  <w:pPr>
                    <w:spacing w:after="0" w:line="240" w:lineRule="auto"/>
                    <w:rPr>
                      <w:rFonts w:ascii="Calibri" w:eastAsia="Times New Roman" w:hAnsi="Calibri" w:cs="Times New Roman"/>
                    </w:rPr>
                  </w:pPr>
                  <w:r w:rsidRPr="00795412">
                    <w:rPr>
                      <w:rFonts w:ascii="Calibri" w:eastAsia="Times New Roman" w:hAnsi="Calibri" w:cs="Times New Roman"/>
                    </w:rPr>
                    <w:t>15&lt;25</w:t>
                  </w:r>
                </w:p>
              </w:tc>
              <w:tc>
                <w:tcPr>
                  <w:tcW w:w="937" w:type="dxa"/>
                  <w:shd w:val="clear" w:color="auto" w:fill="auto"/>
                  <w:noWrap/>
                  <w:vAlign w:val="center"/>
                  <w:hideMark/>
                </w:tcPr>
                <w:p w14:paraId="3E3041E1" w14:textId="77777777" w:rsidR="00795412" w:rsidRPr="00795412" w:rsidRDefault="00795412" w:rsidP="00C42770">
                  <w:pPr>
                    <w:spacing w:after="0" w:line="240" w:lineRule="auto"/>
                    <w:rPr>
                      <w:rFonts w:ascii="Calibri" w:eastAsia="Times New Roman" w:hAnsi="Calibri" w:cs="Times New Roman"/>
                    </w:rPr>
                  </w:pPr>
                  <w:r w:rsidRPr="00795412">
                    <w:rPr>
                      <w:rFonts w:ascii="Calibri" w:eastAsia="Times New Roman" w:hAnsi="Calibri" w:cs="Times New Roman"/>
                    </w:rPr>
                    <w:t>6.1</w:t>
                  </w:r>
                </w:p>
              </w:tc>
              <w:tc>
                <w:tcPr>
                  <w:tcW w:w="1075" w:type="dxa"/>
                  <w:shd w:val="clear" w:color="auto" w:fill="auto"/>
                  <w:noWrap/>
                  <w:vAlign w:val="center"/>
                  <w:hideMark/>
                </w:tcPr>
                <w:p w14:paraId="5C5C3219" w14:textId="77777777" w:rsidR="00795412" w:rsidRPr="00795412" w:rsidRDefault="00795412" w:rsidP="00C42770">
                  <w:pPr>
                    <w:spacing w:after="0" w:line="240" w:lineRule="auto"/>
                    <w:rPr>
                      <w:rFonts w:ascii="Calibri" w:eastAsia="Times New Roman" w:hAnsi="Calibri" w:cs="Times New Roman"/>
                    </w:rPr>
                  </w:pPr>
                  <w:r w:rsidRPr="00795412">
                    <w:rPr>
                      <w:rFonts w:ascii="Calibri" w:eastAsia="Times New Roman" w:hAnsi="Calibri" w:cs="Times New Roman"/>
                    </w:rPr>
                    <w:t>4.6</w:t>
                  </w:r>
                </w:p>
              </w:tc>
              <w:tc>
                <w:tcPr>
                  <w:tcW w:w="1110" w:type="dxa"/>
                  <w:shd w:val="clear" w:color="auto" w:fill="auto"/>
                  <w:noWrap/>
                  <w:vAlign w:val="center"/>
                  <w:hideMark/>
                </w:tcPr>
                <w:p w14:paraId="57FACF5C" w14:textId="77777777" w:rsidR="00795412" w:rsidRPr="00795412" w:rsidRDefault="00795412" w:rsidP="00C42770">
                  <w:pPr>
                    <w:spacing w:after="0" w:line="240" w:lineRule="auto"/>
                    <w:rPr>
                      <w:rFonts w:ascii="Calibri" w:eastAsia="Times New Roman" w:hAnsi="Calibri" w:cs="Times New Roman"/>
                    </w:rPr>
                  </w:pPr>
                  <w:r w:rsidRPr="00795412">
                    <w:rPr>
                      <w:rFonts w:ascii="Calibri" w:eastAsia="Times New Roman" w:hAnsi="Calibri" w:cs="Times New Roman"/>
                    </w:rPr>
                    <w:t>7.7</w:t>
                  </w:r>
                </w:p>
              </w:tc>
            </w:tr>
            <w:tr w:rsidR="0065491B" w:rsidRPr="00795412" w14:paraId="7B7F7D48" w14:textId="77777777" w:rsidTr="00C42770">
              <w:trPr>
                <w:trHeight w:val="422"/>
              </w:trPr>
              <w:tc>
                <w:tcPr>
                  <w:tcW w:w="868" w:type="dxa"/>
                  <w:shd w:val="clear" w:color="auto" w:fill="auto"/>
                  <w:noWrap/>
                  <w:vAlign w:val="center"/>
                  <w:hideMark/>
                </w:tcPr>
                <w:p w14:paraId="175C7E06" w14:textId="77777777" w:rsidR="00795412" w:rsidRPr="00795412" w:rsidRDefault="00795412" w:rsidP="00C42770">
                  <w:pPr>
                    <w:spacing w:after="0" w:line="240" w:lineRule="auto"/>
                    <w:rPr>
                      <w:rFonts w:ascii="Calibri" w:eastAsia="Times New Roman" w:hAnsi="Calibri" w:cs="Times New Roman"/>
                    </w:rPr>
                  </w:pPr>
                </w:p>
              </w:tc>
              <w:tc>
                <w:tcPr>
                  <w:tcW w:w="3879" w:type="dxa"/>
                  <w:shd w:val="clear" w:color="auto" w:fill="auto"/>
                  <w:noWrap/>
                  <w:vAlign w:val="center"/>
                  <w:hideMark/>
                </w:tcPr>
                <w:p w14:paraId="525B6BDE" w14:textId="4E0AF3C1" w:rsidR="00795412" w:rsidRPr="00795412" w:rsidRDefault="0065491B" w:rsidP="00C42770">
                  <w:pPr>
                    <w:spacing w:after="0" w:line="240" w:lineRule="auto"/>
                    <w:rPr>
                      <w:rFonts w:ascii="Calibri" w:eastAsia="Times New Roman" w:hAnsi="Calibri" w:cs="Times New Roman"/>
                      <w:bCs/>
                      <w:color w:val="000000"/>
                    </w:rPr>
                  </w:pPr>
                  <w:r w:rsidRPr="00C42770">
                    <w:rPr>
                      <w:rFonts w:ascii="Calibri" w:eastAsia="Times New Roman" w:hAnsi="Calibri" w:cs="Times New Roman"/>
                      <w:bCs/>
                      <w:color w:val="000000"/>
                    </w:rPr>
                    <w:t>NEW FINANCING SOURCES</w:t>
                  </w:r>
                </w:p>
              </w:tc>
              <w:tc>
                <w:tcPr>
                  <w:tcW w:w="932" w:type="dxa"/>
                  <w:shd w:val="clear" w:color="auto" w:fill="auto"/>
                  <w:noWrap/>
                  <w:vAlign w:val="center"/>
                  <w:hideMark/>
                </w:tcPr>
                <w:p w14:paraId="18460CA0" w14:textId="77777777" w:rsidR="00795412" w:rsidRPr="00795412" w:rsidRDefault="00795412" w:rsidP="00C42770">
                  <w:pPr>
                    <w:spacing w:after="0" w:line="240" w:lineRule="auto"/>
                    <w:rPr>
                      <w:rFonts w:ascii="Calibri" w:eastAsia="Times New Roman" w:hAnsi="Calibri" w:cs="Times New Roman"/>
                      <w:bCs/>
                      <w:color w:val="000000"/>
                    </w:rPr>
                  </w:pPr>
                </w:p>
              </w:tc>
              <w:tc>
                <w:tcPr>
                  <w:tcW w:w="937" w:type="dxa"/>
                  <w:shd w:val="clear" w:color="auto" w:fill="auto"/>
                  <w:noWrap/>
                  <w:vAlign w:val="center"/>
                  <w:hideMark/>
                </w:tcPr>
                <w:p w14:paraId="525F1BF5" w14:textId="77777777" w:rsidR="00795412" w:rsidRPr="00795412" w:rsidRDefault="00795412" w:rsidP="00C42770">
                  <w:pPr>
                    <w:spacing w:after="0" w:line="240" w:lineRule="auto"/>
                    <w:rPr>
                      <w:rFonts w:ascii="Calibri" w:eastAsia="Times New Roman" w:hAnsi="Calibri" w:cs="Times New Roman"/>
                      <w:bCs/>
                      <w:color w:val="000000"/>
                    </w:rPr>
                  </w:pPr>
                  <w:r w:rsidRPr="00795412">
                    <w:rPr>
                      <w:rFonts w:ascii="Calibri" w:eastAsia="Times New Roman" w:hAnsi="Calibri" w:cs="Times New Roman"/>
                      <w:bCs/>
                      <w:color w:val="000000"/>
                    </w:rPr>
                    <w:t>14.8</w:t>
                  </w:r>
                </w:p>
              </w:tc>
              <w:tc>
                <w:tcPr>
                  <w:tcW w:w="1075" w:type="dxa"/>
                  <w:shd w:val="clear" w:color="auto" w:fill="auto"/>
                  <w:noWrap/>
                  <w:vAlign w:val="center"/>
                  <w:hideMark/>
                </w:tcPr>
                <w:p w14:paraId="25C06AEF" w14:textId="77777777" w:rsidR="00795412" w:rsidRPr="00795412" w:rsidRDefault="00795412" w:rsidP="00C42770">
                  <w:pPr>
                    <w:spacing w:after="0" w:line="240" w:lineRule="auto"/>
                    <w:rPr>
                      <w:rFonts w:ascii="Calibri" w:eastAsia="Times New Roman" w:hAnsi="Calibri" w:cs="Times New Roman"/>
                      <w:bCs/>
                      <w:color w:val="000000"/>
                    </w:rPr>
                  </w:pPr>
                  <w:r w:rsidRPr="00795412">
                    <w:rPr>
                      <w:rFonts w:ascii="Calibri" w:eastAsia="Times New Roman" w:hAnsi="Calibri" w:cs="Times New Roman"/>
                      <w:bCs/>
                      <w:color w:val="000000"/>
                    </w:rPr>
                    <w:t>10.5</w:t>
                  </w:r>
                </w:p>
              </w:tc>
              <w:tc>
                <w:tcPr>
                  <w:tcW w:w="1110" w:type="dxa"/>
                  <w:shd w:val="clear" w:color="auto" w:fill="auto"/>
                  <w:noWrap/>
                  <w:vAlign w:val="center"/>
                  <w:hideMark/>
                </w:tcPr>
                <w:p w14:paraId="61D32000" w14:textId="77777777" w:rsidR="00795412" w:rsidRPr="00795412" w:rsidRDefault="00795412" w:rsidP="00C42770">
                  <w:pPr>
                    <w:spacing w:after="0" w:line="240" w:lineRule="auto"/>
                    <w:rPr>
                      <w:rFonts w:ascii="Calibri" w:eastAsia="Times New Roman" w:hAnsi="Calibri" w:cs="Times New Roman"/>
                      <w:bCs/>
                      <w:color w:val="000000"/>
                    </w:rPr>
                  </w:pPr>
                  <w:r w:rsidRPr="00795412">
                    <w:rPr>
                      <w:rFonts w:ascii="Calibri" w:eastAsia="Times New Roman" w:hAnsi="Calibri" w:cs="Times New Roman"/>
                      <w:bCs/>
                      <w:color w:val="000000"/>
                    </w:rPr>
                    <w:t>19.0</w:t>
                  </w:r>
                </w:p>
              </w:tc>
            </w:tr>
            <w:tr w:rsidR="0065491B" w:rsidRPr="00795412" w14:paraId="17960166" w14:textId="77777777" w:rsidTr="00C42770">
              <w:trPr>
                <w:trHeight w:val="300"/>
              </w:trPr>
              <w:tc>
                <w:tcPr>
                  <w:tcW w:w="868" w:type="dxa"/>
                  <w:shd w:val="clear" w:color="auto" w:fill="auto"/>
                  <w:noWrap/>
                  <w:vAlign w:val="center"/>
                  <w:hideMark/>
                </w:tcPr>
                <w:p w14:paraId="64F638D4"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GL</w:t>
                  </w:r>
                </w:p>
              </w:tc>
              <w:tc>
                <w:tcPr>
                  <w:tcW w:w="3879" w:type="dxa"/>
                  <w:shd w:val="clear" w:color="auto" w:fill="auto"/>
                  <w:noWrap/>
                  <w:vAlign w:val="center"/>
                  <w:hideMark/>
                </w:tcPr>
                <w:p w14:paraId="54EEF8A7"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Green lending</w:t>
                  </w:r>
                </w:p>
              </w:tc>
              <w:tc>
                <w:tcPr>
                  <w:tcW w:w="932" w:type="dxa"/>
                  <w:shd w:val="clear" w:color="auto" w:fill="auto"/>
                  <w:noWrap/>
                  <w:vAlign w:val="center"/>
                  <w:hideMark/>
                </w:tcPr>
                <w:p w14:paraId="6EC5FE20"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2&lt;5</w:t>
                  </w:r>
                </w:p>
              </w:tc>
              <w:tc>
                <w:tcPr>
                  <w:tcW w:w="937" w:type="dxa"/>
                  <w:shd w:val="clear" w:color="auto" w:fill="auto"/>
                  <w:noWrap/>
                  <w:vAlign w:val="center"/>
                  <w:hideMark/>
                </w:tcPr>
                <w:p w14:paraId="3CB2FB33"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1.1</w:t>
                  </w:r>
                </w:p>
              </w:tc>
              <w:tc>
                <w:tcPr>
                  <w:tcW w:w="1075" w:type="dxa"/>
                  <w:shd w:val="clear" w:color="auto" w:fill="auto"/>
                  <w:noWrap/>
                  <w:vAlign w:val="center"/>
                  <w:hideMark/>
                </w:tcPr>
                <w:p w14:paraId="395BAAD2"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0.6</w:t>
                  </w:r>
                </w:p>
              </w:tc>
              <w:tc>
                <w:tcPr>
                  <w:tcW w:w="1110" w:type="dxa"/>
                  <w:shd w:val="clear" w:color="auto" w:fill="auto"/>
                  <w:noWrap/>
                  <w:vAlign w:val="center"/>
                  <w:hideMark/>
                </w:tcPr>
                <w:p w14:paraId="0CB50539"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1.5</w:t>
                  </w:r>
                </w:p>
              </w:tc>
            </w:tr>
            <w:tr w:rsidR="0065491B" w:rsidRPr="00795412" w14:paraId="49CB7AC7" w14:textId="77777777" w:rsidTr="00C42770">
              <w:trPr>
                <w:trHeight w:val="300"/>
              </w:trPr>
              <w:tc>
                <w:tcPr>
                  <w:tcW w:w="868" w:type="dxa"/>
                  <w:shd w:val="clear" w:color="auto" w:fill="auto"/>
                  <w:noWrap/>
                  <w:vAlign w:val="center"/>
                  <w:hideMark/>
                </w:tcPr>
                <w:p w14:paraId="70C0678A"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CSR(A)</w:t>
                  </w:r>
                </w:p>
              </w:tc>
              <w:tc>
                <w:tcPr>
                  <w:tcW w:w="3879" w:type="dxa"/>
                  <w:shd w:val="clear" w:color="auto" w:fill="auto"/>
                  <w:noWrap/>
                  <w:vAlign w:val="center"/>
                  <w:hideMark/>
                </w:tcPr>
                <w:p w14:paraId="20510FE5"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 xml:space="preserve">Corporate Social Responsibility </w:t>
                  </w:r>
                </w:p>
              </w:tc>
              <w:tc>
                <w:tcPr>
                  <w:tcW w:w="932" w:type="dxa"/>
                  <w:shd w:val="clear" w:color="auto" w:fill="auto"/>
                  <w:noWrap/>
                  <w:vAlign w:val="center"/>
                  <w:hideMark/>
                </w:tcPr>
                <w:p w14:paraId="60DB9A48"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2&lt;5</w:t>
                  </w:r>
                </w:p>
              </w:tc>
              <w:tc>
                <w:tcPr>
                  <w:tcW w:w="937" w:type="dxa"/>
                  <w:shd w:val="clear" w:color="auto" w:fill="auto"/>
                  <w:noWrap/>
                  <w:vAlign w:val="center"/>
                  <w:hideMark/>
                </w:tcPr>
                <w:p w14:paraId="63BAB10B"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1.1</w:t>
                  </w:r>
                </w:p>
              </w:tc>
              <w:tc>
                <w:tcPr>
                  <w:tcW w:w="1075" w:type="dxa"/>
                  <w:shd w:val="clear" w:color="auto" w:fill="auto"/>
                  <w:noWrap/>
                  <w:vAlign w:val="center"/>
                  <w:hideMark/>
                </w:tcPr>
                <w:p w14:paraId="0C26DAA0"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0.6</w:t>
                  </w:r>
                </w:p>
              </w:tc>
              <w:tc>
                <w:tcPr>
                  <w:tcW w:w="1110" w:type="dxa"/>
                  <w:shd w:val="clear" w:color="auto" w:fill="auto"/>
                  <w:noWrap/>
                  <w:vAlign w:val="center"/>
                  <w:hideMark/>
                </w:tcPr>
                <w:p w14:paraId="499DE79E"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1.5</w:t>
                  </w:r>
                </w:p>
              </w:tc>
            </w:tr>
            <w:tr w:rsidR="0065491B" w:rsidRPr="00795412" w14:paraId="3ECD5D3A" w14:textId="77777777" w:rsidTr="00C42770">
              <w:trPr>
                <w:trHeight w:val="300"/>
              </w:trPr>
              <w:tc>
                <w:tcPr>
                  <w:tcW w:w="868" w:type="dxa"/>
                  <w:shd w:val="clear" w:color="auto" w:fill="auto"/>
                  <w:noWrap/>
                  <w:vAlign w:val="center"/>
                  <w:hideMark/>
                </w:tcPr>
                <w:p w14:paraId="1E321117"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LOB</w:t>
                  </w:r>
                </w:p>
              </w:tc>
              <w:tc>
                <w:tcPr>
                  <w:tcW w:w="3879" w:type="dxa"/>
                  <w:shd w:val="clear" w:color="auto" w:fill="auto"/>
                  <w:noWrap/>
                  <w:vAlign w:val="center"/>
                  <w:hideMark/>
                </w:tcPr>
                <w:p w14:paraId="01C66F4F"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Lobbying for public budget allocations</w:t>
                  </w:r>
                </w:p>
              </w:tc>
              <w:tc>
                <w:tcPr>
                  <w:tcW w:w="932" w:type="dxa"/>
                  <w:shd w:val="clear" w:color="auto" w:fill="auto"/>
                  <w:noWrap/>
                  <w:vAlign w:val="center"/>
                  <w:hideMark/>
                </w:tcPr>
                <w:p w14:paraId="34A8D5E8"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5&lt;15</w:t>
                  </w:r>
                </w:p>
              </w:tc>
              <w:tc>
                <w:tcPr>
                  <w:tcW w:w="937" w:type="dxa"/>
                  <w:shd w:val="clear" w:color="auto" w:fill="auto"/>
                  <w:noWrap/>
                  <w:vAlign w:val="center"/>
                  <w:hideMark/>
                </w:tcPr>
                <w:p w14:paraId="4C230591"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3.1</w:t>
                  </w:r>
                </w:p>
              </w:tc>
              <w:tc>
                <w:tcPr>
                  <w:tcW w:w="1075" w:type="dxa"/>
                  <w:shd w:val="clear" w:color="auto" w:fill="auto"/>
                  <w:noWrap/>
                  <w:vAlign w:val="center"/>
                  <w:hideMark/>
                </w:tcPr>
                <w:p w14:paraId="769965D0"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1.5</w:t>
                  </w:r>
                </w:p>
              </w:tc>
              <w:tc>
                <w:tcPr>
                  <w:tcW w:w="1110" w:type="dxa"/>
                  <w:shd w:val="clear" w:color="auto" w:fill="auto"/>
                  <w:noWrap/>
                  <w:vAlign w:val="center"/>
                  <w:hideMark/>
                </w:tcPr>
                <w:p w14:paraId="75E3CA1B"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4.6</w:t>
                  </w:r>
                </w:p>
              </w:tc>
            </w:tr>
            <w:tr w:rsidR="0065491B" w:rsidRPr="00795412" w14:paraId="32E6E23C" w14:textId="77777777" w:rsidTr="00C42770">
              <w:trPr>
                <w:trHeight w:val="300"/>
              </w:trPr>
              <w:tc>
                <w:tcPr>
                  <w:tcW w:w="868" w:type="dxa"/>
                  <w:shd w:val="clear" w:color="auto" w:fill="auto"/>
                  <w:noWrap/>
                  <w:vAlign w:val="center"/>
                  <w:hideMark/>
                </w:tcPr>
                <w:p w14:paraId="677E57CE"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EC</w:t>
                  </w:r>
                </w:p>
              </w:tc>
              <w:tc>
                <w:tcPr>
                  <w:tcW w:w="3879" w:type="dxa"/>
                  <w:shd w:val="clear" w:color="auto" w:fill="auto"/>
                  <w:noWrap/>
                  <w:vAlign w:val="center"/>
                  <w:hideMark/>
                </w:tcPr>
                <w:p w14:paraId="74FB5C97" w14:textId="236F24AB"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 xml:space="preserve">Revenue from environmental </w:t>
                  </w:r>
                  <w:r w:rsidR="0065491B" w:rsidRPr="0065491B">
                    <w:rPr>
                      <w:rFonts w:ascii="Calibri" w:eastAsia="Times New Roman" w:hAnsi="Calibri" w:cs="Times New Roman"/>
                      <w:color w:val="000000"/>
                    </w:rPr>
                    <w:t>penalties</w:t>
                  </w:r>
                  <w:r w:rsidRPr="00795412">
                    <w:rPr>
                      <w:rFonts w:ascii="Calibri" w:eastAsia="Times New Roman" w:hAnsi="Calibri" w:cs="Times New Roman"/>
                      <w:color w:val="000000"/>
                    </w:rPr>
                    <w:t xml:space="preserve"> </w:t>
                  </w:r>
                </w:p>
              </w:tc>
              <w:tc>
                <w:tcPr>
                  <w:tcW w:w="932" w:type="dxa"/>
                  <w:shd w:val="clear" w:color="auto" w:fill="auto"/>
                  <w:noWrap/>
                  <w:vAlign w:val="center"/>
                  <w:hideMark/>
                </w:tcPr>
                <w:p w14:paraId="6A1BF621"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2&lt;5</w:t>
                  </w:r>
                </w:p>
              </w:tc>
              <w:tc>
                <w:tcPr>
                  <w:tcW w:w="937" w:type="dxa"/>
                  <w:shd w:val="clear" w:color="auto" w:fill="auto"/>
                  <w:noWrap/>
                  <w:vAlign w:val="center"/>
                  <w:hideMark/>
                </w:tcPr>
                <w:p w14:paraId="4DBE31C5"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1.1</w:t>
                  </w:r>
                </w:p>
              </w:tc>
              <w:tc>
                <w:tcPr>
                  <w:tcW w:w="1075" w:type="dxa"/>
                  <w:shd w:val="clear" w:color="auto" w:fill="auto"/>
                  <w:noWrap/>
                  <w:vAlign w:val="center"/>
                  <w:hideMark/>
                </w:tcPr>
                <w:p w14:paraId="14882DFB"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0.6</w:t>
                  </w:r>
                </w:p>
              </w:tc>
              <w:tc>
                <w:tcPr>
                  <w:tcW w:w="1110" w:type="dxa"/>
                  <w:shd w:val="clear" w:color="auto" w:fill="auto"/>
                  <w:noWrap/>
                  <w:vAlign w:val="center"/>
                  <w:hideMark/>
                </w:tcPr>
                <w:p w14:paraId="4758C0BD"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1.5</w:t>
                  </w:r>
                </w:p>
              </w:tc>
            </w:tr>
            <w:tr w:rsidR="0065491B" w:rsidRPr="00795412" w14:paraId="5E798970" w14:textId="77777777" w:rsidTr="00C42770">
              <w:trPr>
                <w:trHeight w:val="458"/>
              </w:trPr>
              <w:tc>
                <w:tcPr>
                  <w:tcW w:w="868" w:type="dxa"/>
                  <w:shd w:val="clear" w:color="auto" w:fill="auto"/>
                  <w:noWrap/>
                  <w:vAlign w:val="center"/>
                  <w:hideMark/>
                </w:tcPr>
                <w:p w14:paraId="5E81EDE3" w14:textId="77777777" w:rsidR="00795412" w:rsidRPr="00795412" w:rsidRDefault="00795412" w:rsidP="00C42770">
                  <w:pPr>
                    <w:spacing w:after="0" w:line="240" w:lineRule="auto"/>
                    <w:rPr>
                      <w:rFonts w:ascii="Calibri" w:eastAsia="Times New Roman" w:hAnsi="Calibri" w:cs="Times New Roman"/>
                      <w:color w:val="000000"/>
                    </w:rPr>
                  </w:pPr>
                </w:p>
              </w:tc>
              <w:tc>
                <w:tcPr>
                  <w:tcW w:w="3879" w:type="dxa"/>
                  <w:shd w:val="clear" w:color="auto" w:fill="auto"/>
                  <w:noWrap/>
                  <w:vAlign w:val="center"/>
                  <w:hideMark/>
                </w:tcPr>
                <w:p w14:paraId="3990125B" w14:textId="5121C251" w:rsidR="00795412" w:rsidRPr="00795412" w:rsidRDefault="0065491B" w:rsidP="00C42770">
                  <w:pPr>
                    <w:spacing w:after="0" w:line="240" w:lineRule="auto"/>
                    <w:rPr>
                      <w:rFonts w:ascii="Calibri" w:eastAsia="Times New Roman" w:hAnsi="Calibri" w:cs="Times New Roman"/>
                      <w:bCs/>
                      <w:color w:val="000000"/>
                    </w:rPr>
                  </w:pPr>
                  <w:r w:rsidRPr="0065491B">
                    <w:rPr>
                      <w:rFonts w:ascii="Calibri" w:eastAsia="Times New Roman" w:hAnsi="Calibri" w:cs="Times New Roman"/>
                      <w:bCs/>
                      <w:color w:val="000000"/>
                    </w:rPr>
                    <w:t>RE-ALIGNMENT OF FINA</w:t>
                  </w:r>
                  <w:r w:rsidR="003C2345">
                    <w:rPr>
                      <w:rFonts w:ascii="Calibri" w:eastAsia="Times New Roman" w:hAnsi="Calibri" w:cs="Times New Roman"/>
                      <w:bCs/>
                      <w:color w:val="000000"/>
                    </w:rPr>
                    <w:t>N</w:t>
                  </w:r>
                  <w:r w:rsidRPr="0065491B">
                    <w:rPr>
                      <w:rFonts w:ascii="Calibri" w:eastAsia="Times New Roman" w:hAnsi="Calibri" w:cs="Times New Roman"/>
                      <w:bCs/>
                      <w:color w:val="000000"/>
                    </w:rPr>
                    <w:t>CES</w:t>
                  </w:r>
                </w:p>
              </w:tc>
              <w:tc>
                <w:tcPr>
                  <w:tcW w:w="932" w:type="dxa"/>
                  <w:shd w:val="clear" w:color="auto" w:fill="auto"/>
                  <w:noWrap/>
                  <w:vAlign w:val="center"/>
                  <w:hideMark/>
                </w:tcPr>
                <w:p w14:paraId="671CEE52" w14:textId="77777777" w:rsidR="00795412" w:rsidRPr="00795412" w:rsidRDefault="00795412" w:rsidP="00C42770">
                  <w:pPr>
                    <w:spacing w:after="0" w:line="240" w:lineRule="auto"/>
                    <w:rPr>
                      <w:rFonts w:ascii="Calibri" w:eastAsia="Times New Roman" w:hAnsi="Calibri" w:cs="Times New Roman"/>
                      <w:b/>
                      <w:bCs/>
                      <w:color w:val="000000"/>
                    </w:rPr>
                  </w:pPr>
                </w:p>
              </w:tc>
              <w:tc>
                <w:tcPr>
                  <w:tcW w:w="937" w:type="dxa"/>
                  <w:shd w:val="clear" w:color="auto" w:fill="auto"/>
                  <w:noWrap/>
                  <w:vAlign w:val="center"/>
                  <w:hideMark/>
                </w:tcPr>
                <w:p w14:paraId="5BEFA1A5" w14:textId="77777777" w:rsidR="00795412" w:rsidRPr="00795412" w:rsidRDefault="00795412" w:rsidP="00C42770">
                  <w:pPr>
                    <w:spacing w:after="0" w:line="240" w:lineRule="auto"/>
                    <w:rPr>
                      <w:rFonts w:ascii="Calibri" w:eastAsia="Times New Roman" w:hAnsi="Calibri" w:cs="Times New Roman"/>
                      <w:b/>
                      <w:bCs/>
                      <w:color w:val="000000"/>
                    </w:rPr>
                  </w:pPr>
                  <w:r w:rsidRPr="00795412">
                    <w:rPr>
                      <w:rFonts w:ascii="Calibri" w:eastAsia="Times New Roman" w:hAnsi="Calibri" w:cs="Times New Roman"/>
                      <w:b/>
                      <w:bCs/>
                      <w:color w:val="000000"/>
                    </w:rPr>
                    <w:t>6.3</w:t>
                  </w:r>
                </w:p>
              </w:tc>
              <w:tc>
                <w:tcPr>
                  <w:tcW w:w="1075" w:type="dxa"/>
                  <w:shd w:val="clear" w:color="auto" w:fill="auto"/>
                  <w:noWrap/>
                  <w:vAlign w:val="center"/>
                  <w:hideMark/>
                </w:tcPr>
                <w:p w14:paraId="13191953" w14:textId="77777777" w:rsidR="00795412" w:rsidRPr="00795412" w:rsidRDefault="00795412" w:rsidP="00C42770">
                  <w:pPr>
                    <w:spacing w:after="0" w:line="240" w:lineRule="auto"/>
                    <w:rPr>
                      <w:rFonts w:ascii="Calibri" w:eastAsia="Times New Roman" w:hAnsi="Calibri" w:cs="Times New Roman"/>
                      <w:b/>
                      <w:bCs/>
                      <w:color w:val="000000"/>
                    </w:rPr>
                  </w:pPr>
                  <w:r w:rsidRPr="00795412">
                    <w:rPr>
                      <w:rFonts w:ascii="Calibri" w:eastAsia="Times New Roman" w:hAnsi="Calibri" w:cs="Times New Roman"/>
                      <w:b/>
                      <w:bCs/>
                      <w:color w:val="000000"/>
                    </w:rPr>
                    <w:t>3.4</w:t>
                  </w:r>
                </w:p>
              </w:tc>
              <w:tc>
                <w:tcPr>
                  <w:tcW w:w="1110" w:type="dxa"/>
                  <w:shd w:val="clear" w:color="auto" w:fill="auto"/>
                  <w:noWrap/>
                  <w:vAlign w:val="center"/>
                  <w:hideMark/>
                </w:tcPr>
                <w:p w14:paraId="44ED4B96" w14:textId="77777777" w:rsidR="00795412" w:rsidRPr="00795412" w:rsidRDefault="00795412" w:rsidP="00C42770">
                  <w:pPr>
                    <w:spacing w:after="0" w:line="240" w:lineRule="auto"/>
                    <w:rPr>
                      <w:rFonts w:ascii="Calibri" w:eastAsia="Times New Roman" w:hAnsi="Calibri" w:cs="Times New Roman"/>
                      <w:b/>
                      <w:bCs/>
                      <w:color w:val="000000"/>
                    </w:rPr>
                  </w:pPr>
                  <w:r w:rsidRPr="00795412">
                    <w:rPr>
                      <w:rFonts w:ascii="Calibri" w:eastAsia="Times New Roman" w:hAnsi="Calibri" w:cs="Times New Roman"/>
                      <w:b/>
                      <w:bCs/>
                      <w:color w:val="000000"/>
                    </w:rPr>
                    <w:t>9.2</w:t>
                  </w:r>
                </w:p>
              </w:tc>
            </w:tr>
            <w:tr w:rsidR="0065491B" w:rsidRPr="00795412" w14:paraId="3BB87C2D" w14:textId="77777777" w:rsidTr="00C42770">
              <w:trPr>
                <w:trHeight w:val="300"/>
              </w:trPr>
              <w:tc>
                <w:tcPr>
                  <w:tcW w:w="868" w:type="dxa"/>
                  <w:shd w:val="clear" w:color="auto" w:fill="auto"/>
                  <w:noWrap/>
                  <w:vAlign w:val="center"/>
                  <w:hideMark/>
                </w:tcPr>
                <w:p w14:paraId="779A869E"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SST(A)</w:t>
                  </w:r>
                </w:p>
              </w:tc>
              <w:tc>
                <w:tcPr>
                  <w:tcW w:w="3879" w:type="dxa"/>
                  <w:shd w:val="clear" w:color="auto" w:fill="auto"/>
                  <w:noWrap/>
                  <w:vAlign w:val="center"/>
                  <w:hideMark/>
                </w:tcPr>
                <w:p w14:paraId="7E2B620B"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Sustainable Standards and Certification</w:t>
                  </w:r>
                </w:p>
              </w:tc>
              <w:tc>
                <w:tcPr>
                  <w:tcW w:w="932" w:type="dxa"/>
                  <w:shd w:val="clear" w:color="auto" w:fill="auto"/>
                  <w:noWrap/>
                  <w:vAlign w:val="center"/>
                  <w:hideMark/>
                </w:tcPr>
                <w:p w14:paraId="615D2991"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5&lt;15</w:t>
                  </w:r>
                </w:p>
              </w:tc>
              <w:tc>
                <w:tcPr>
                  <w:tcW w:w="937" w:type="dxa"/>
                  <w:shd w:val="clear" w:color="auto" w:fill="auto"/>
                  <w:noWrap/>
                  <w:vAlign w:val="center"/>
                  <w:hideMark/>
                </w:tcPr>
                <w:p w14:paraId="4E109D54"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3.1</w:t>
                  </w:r>
                </w:p>
              </w:tc>
              <w:tc>
                <w:tcPr>
                  <w:tcW w:w="1075" w:type="dxa"/>
                  <w:shd w:val="clear" w:color="auto" w:fill="auto"/>
                  <w:noWrap/>
                  <w:vAlign w:val="center"/>
                  <w:hideMark/>
                </w:tcPr>
                <w:p w14:paraId="6E7090CE"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1.5</w:t>
                  </w:r>
                </w:p>
              </w:tc>
              <w:tc>
                <w:tcPr>
                  <w:tcW w:w="1110" w:type="dxa"/>
                  <w:shd w:val="clear" w:color="auto" w:fill="auto"/>
                  <w:noWrap/>
                  <w:vAlign w:val="center"/>
                  <w:hideMark/>
                </w:tcPr>
                <w:p w14:paraId="6F702140"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4.6</w:t>
                  </w:r>
                </w:p>
              </w:tc>
            </w:tr>
            <w:tr w:rsidR="0065491B" w:rsidRPr="00795412" w14:paraId="026E5C46" w14:textId="77777777" w:rsidTr="00C42770">
              <w:trPr>
                <w:trHeight w:val="300"/>
              </w:trPr>
              <w:tc>
                <w:tcPr>
                  <w:tcW w:w="868" w:type="dxa"/>
                  <w:shd w:val="clear" w:color="auto" w:fill="auto"/>
                  <w:noWrap/>
                  <w:vAlign w:val="center"/>
                  <w:hideMark/>
                </w:tcPr>
                <w:p w14:paraId="2F80A1CA"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CM</w:t>
                  </w:r>
                </w:p>
              </w:tc>
              <w:tc>
                <w:tcPr>
                  <w:tcW w:w="3879" w:type="dxa"/>
                  <w:shd w:val="clear" w:color="auto" w:fill="auto"/>
                  <w:noWrap/>
                  <w:vAlign w:val="center"/>
                  <w:hideMark/>
                </w:tcPr>
                <w:p w14:paraId="74CB9B3F"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 xml:space="preserve">Carbon markets </w:t>
                  </w:r>
                </w:p>
              </w:tc>
              <w:tc>
                <w:tcPr>
                  <w:tcW w:w="932" w:type="dxa"/>
                  <w:shd w:val="clear" w:color="auto" w:fill="auto"/>
                  <w:noWrap/>
                  <w:vAlign w:val="center"/>
                  <w:hideMark/>
                </w:tcPr>
                <w:p w14:paraId="420FAA0F"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5&lt;15</w:t>
                  </w:r>
                </w:p>
              </w:tc>
              <w:tc>
                <w:tcPr>
                  <w:tcW w:w="937" w:type="dxa"/>
                  <w:shd w:val="clear" w:color="auto" w:fill="auto"/>
                  <w:noWrap/>
                  <w:vAlign w:val="center"/>
                  <w:hideMark/>
                </w:tcPr>
                <w:p w14:paraId="6DFBEA1F"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3.1</w:t>
                  </w:r>
                </w:p>
              </w:tc>
              <w:tc>
                <w:tcPr>
                  <w:tcW w:w="1075" w:type="dxa"/>
                  <w:shd w:val="clear" w:color="auto" w:fill="auto"/>
                  <w:noWrap/>
                  <w:vAlign w:val="center"/>
                  <w:hideMark/>
                </w:tcPr>
                <w:p w14:paraId="74519DF2"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1.5</w:t>
                  </w:r>
                </w:p>
              </w:tc>
              <w:tc>
                <w:tcPr>
                  <w:tcW w:w="1110" w:type="dxa"/>
                  <w:shd w:val="clear" w:color="auto" w:fill="auto"/>
                  <w:noWrap/>
                  <w:vAlign w:val="center"/>
                  <w:hideMark/>
                </w:tcPr>
                <w:p w14:paraId="7A254253"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4.6</w:t>
                  </w:r>
                </w:p>
              </w:tc>
            </w:tr>
            <w:tr w:rsidR="0065491B" w:rsidRPr="00795412" w14:paraId="2EC504C4" w14:textId="77777777" w:rsidTr="00C42770">
              <w:trPr>
                <w:trHeight w:val="458"/>
              </w:trPr>
              <w:tc>
                <w:tcPr>
                  <w:tcW w:w="868" w:type="dxa"/>
                  <w:shd w:val="clear" w:color="auto" w:fill="auto"/>
                  <w:noWrap/>
                  <w:vAlign w:val="center"/>
                  <w:hideMark/>
                </w:tcPr>
                <w:p w14:paraId="5ED68F1E" w14:textId="77777777" w:rsidR="00795412" w:rsidRPr="00795412" w:rsidRDefault="00795412" w:rsidP="00C42770">
                  <w:pPr>
                    <w:spacing w:after="0" w:line="240" w:lineRule="auto"/>
                    <w:rPr>
                      <w:rFonts w:ascii="Calibri" w:eastAsia="Times New Roman" w:hAnsi="Calibri" w:cs="Times New Roman"/>
                      <w:color w:val="000000"/>
                    </w:rPr>
                  </w:pPr>
                </w:p>
              </w:tc>
              <w:tc>
                <w:tcPr>
                  <w:tcW w:w="3879" w:type="dxa"/>
                  <w:shd w:val="clear" w:color="auto" w:fill="auto"/>
                  <w:noWrap/>
                  <w:vAlign w:val="center"/>
                  <w:hideMark/>
                </w:tcPr>
                <w:p w14:paraId="683D59C0" w14:textId="6AF6392C" w:rsidR="00795412" w:rsidRPr="00795412" w:rsidRDefault="0065491B" w:rsidP="00C42770">
                  <w:pPr>
                    <w:spacing w:after="0" w:line="240" w:lineRule="auto"/>
                    <w:rPr>
                      <w:rFonts w:ascii="Calibri" w:eastAsia="Times New Roman" w:hAnsi="Calibri" w:cs="Times New Roman"/>
                      <w:bCs/>
                      <w:color w:val="000000"/>
                    </w:rPr>
                  </w:pPr>
                  <w:r w:rsidRPr="0065491B">
                    <w:rPr>
                      <w:rFonts w:ascii="Calibri" w:eastAsia="Times New Roman" w:hAnsi="Calibri" w:cs="Times New Roman"/>
                      <w:bCs/>
                      <w:color w:val="000000"/>
                    </w:rPr>
                    <w:t>AVOIDING FUTURE SPENDING</w:t>
                  </w:r>
                </w:p>
              </w:tc>
              <w:tc>
                <w:tcPr>
                  <w:tcW w:w="932" w:type="dxa"/>
                  <w:shd w:val="clear" w:color="auto" w:fill="auto"/>
                  <w:noWrap/>
                  <w:vAlign w:val="center"/>
                  <w:hideMark/>
                </w:tcPr>
                <w:p w14:paraId="14A90227" w14:textId="77777777" w:rsidR="00795412" w:rsidRPr="00795412" w:rsidRDefault="00795412" w:rsidP="00C42770">
                  <w:pPr>
                    <w:spacing w:after="0" w:line="240" w:lineRule="auto"/>
                    <w:rPr>
                      <w:rFonts w:ascii="Calibri" w:eastAsia="Times New Roman" w:hAnsi="Calibri" w:cs="Times New Roman"/>
                      <w:b/>
                      <w:bCs/>
                      <w:color w:val="000000"/>
                    </w:rPr>
                  </w:pPr>
                </w:p>
              </w:tc>
              <w:tc>
                <w:tcPr>
                  <w:tcW w:w="937" w:type="dxa"/>
                  <w:shd w:val="clear" w:color="auto" w:fill="auto"/>
                  <w:noWrap/>
                  <w:vAlign w:val="center"/>
                  <w:hideMark/>
                </w:tcPr>
                <w:p w14:paraId="32C45F1F" w14:textId="77777777" w:rsidR="00795412" w:rsidRPr="00795412" w:rsidRDefault="00795412" w:rsidP="00C42770">
                  <w:pPr>
                    <w:spacing w:after="0" w:line="240" w:lineRule="auto"/>
                    <w:rPr>
                      <w:rFonts w:ascii="Calibri" w:eastAsia="Times New Roman" w:hAnsi="Calibri" w:cs="Times New Roman"/>
                      <w:b/>
                      <w:bCs/>
                      <w:color w:val="000000"/>
                    </w:rPr>
                  </w:pPr>
                  <w:r w:rsidRPr="00795412">
                    <w:rPr>
                      <w:rFonts w:ascii="Calibri" w:eastAsia="Times New Roman" w:hAnsi="Calibri" w:cs="Times New Roman"/>
                      <w:b/>
                      <w:bCs/>
                      <w:color w:val="000000"/>
                    </w:rPr>
                    <w:t>6.1</w:t>
                  </w:r>
                </w:p>
              </w:tc>
              <w:tc>
                <w:tcPr>
                  <w:tcW w:w="1075" w:type="dxa"/>
                  <w:shd w:val="clear" w:color="auto" w:fill="auto"/>
                  <w:noWrap/>
                  <w:vAlign w:val="center"/>
                  <w:hideMark/>
                </w:tcPr>
                <w:p w14:paraId="3281F0A5" w14:textId="77777777" w:rsidR="00795412" w:rsidRPr="00795412" w:rsidRDefault="00795412" w:rsidP="00C42770">
                  <w:pPr>
                    <w:spacing w:after="0" w:line="240" w:lineRule="auto"/>
                    <w:rPr>
                      <w:rFonts w:ascii="Calibri" w:eastAsia="Times New Roman" w:hAnsi="Calibri" w:cs="Times New Roman"/>
                      <w:b/>
                      <w:bCs/>
                      <w:color w:val="000000"/>
                    </w:rPr>
                  </w:pPr>
                  <w:r w:rsidRPr="00795412">
                    <w:rPr>
                      <w:rFonts w:ascii="Calibri" w:eastAsia="Times New Roman" w:hAnsi="Calibri" w:cs="Times New Roman"/>
                      <w:b/>
                      <w:bCs/>
                      <w:color w:val="000000"/>
                    </w:rPr>
                    <w:t>3.1</w:t>
                  </w:r>
                </w:p>
              </w:tc>
              <w:tc>
                <w:tcPr>
                  <w:tcW w:w="1110" w:type="dxa"/>
                  <w:shd w:val="clear" w:color="auto" w:fill="auto"/>
                  <w:noWrap/>
                  <w:vAlign w:val="center"/>
                  <w:hideMark/>
                </w:tcPr>
                <w:p w14:paraId="3DF9AF40" w14:textId="77777777" w:rsidR="00795412" w:rsidRPr="00795412" w:rsidRDefault="00795412" w:rsidP="00C42770">
                  <w:pPr>
                    <w:spacing w:after="0" w:line="240" w:lineRule="auto"/>
                    <w:rPr>
                      <w:rFonts w:ascii="Calibri" w:eastAsia="Times New Roman" w:hAnsi="Calibri" w:cs="Times New Roman"/>
                      <w:b/>
                      <w:bCs/>
                      <w:color w:val="000000"/>
                    </w:rPr>
                  </w:pPr>
                  <w:r w:rsidRPr="00795412">
                    <w:rPr>
                      <w:rFonts w:ascii="Calibri" w:eastAsia="Times New Roman" w:hAnsi="Calibri" w:cs="Times New Roman"/>
                      <w:b/>
                      <w:bCs/>
                      <w:color w:val="000000"/>
                    </w:rPr>
                    <w:t>9.2</w:t>
                  </w:r>
                </w:p>
              </w:tc>
            </w:tr>
            <w:tr w:rsidR="0065491B" w:rsidRPr="00795412" w14:paraId="5A69B09A" w14:textId="77777777" w:rsidTr="00C42770">
              <w:trPr>
                <w:trHeight w:val="300"/>
              </w:trPr>
              <w:tc>
                <w:tcPr>
                  <w:tcW w:w="868" w:type="dxa"/>
                  <w:shd w:val="clear" w:color="auto" w:fill="auto"/>
                  <w:noWrap/>
                  <w:vAlign w:val="center"/>
                  <w:hideMark/>
                </w:tcPr>
                <w:p w14:paraId="575496DD"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ET</w:t>
                  </w:r>
                </w:p>
              </w:tc>
              <w:tc>
                <w:tcPr>
                  <w:tcW w:w="3879" w:type="dxa"/>
                  <w:shd w:val="clear" w:color="auto" w:fill="auto"/>
                  <w:noWrap/>
                  <w:vAlign w:val="center"/>
                  <w:hideMark/>
                </w:tcPr>
                <w:p w14:paraId="632C76F2"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Eco-tourism</w:t>
                  </w:r>
                </w:p>
              </w:tc>
              <w:tc>
                <w:tcPr>
                  <w:tcW w:w="932" w:type="dxa"/>
                  <w:shd w:val="clear" w:color="auto" w:fill="auto"/>
                  <w:noWrap/>
                  <w:vAlign w:val="center"/>
                  <w:hideMark/>
                </w:tcPr>
                <w:p w14:paraId="3BDC19E0"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5&lt;15</w:t>
                  </w:r>
                </w:p>
              </w:tc>
              <w:tc>
                <w:tcPr>
                  <w:tcW w:w="937" w:type="dxa"/>
                  <w:shd w:val="clear" w:color="auto" w:fill="auto"/>
                  <w:noWrap/>
                  <w:vAlign w:val="center"/>
                  <w:hideMark/>
                </w:tcPr>
                <w:p w14:paraId="05D978CD"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3.1</w:t>
                  </w:r>
                </w:p>
              </w:tc>
              <w:tc>
                <w:tcPr>
                  <w:tcW w:w="1075" w:type="dxa"/>
                  <w:shd w:val="clear" w:color="auto" w:fill="auto"/>
                  <w:noWrap/>
                  <w:vAlign w:val="center"/>
                  <w:hideMark/>
                </w:tcPr>
                <w:p w14:paraId="02FBFC76"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1.5</w:t>
                  </w:r>
                </w:p>
              </w:tc>
              <w:tc>
                <w:tcPr>
                  <w:tcW w:w="1110" w:type="dxa"/>
                  <w:shd w:val="clear" w:color="auto" w:fill="auto"/>
                  <w:noWrap/>
                  <w:vAlign w:val="center"/>
                  <w:hideMark/>
                </w:tcPr>
                <w:p w14:paraId="1810DFE2"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4.6</w:t>
                  </w:r>
                </w:p>
              </w:tc>
            </w:tr>
            <w:tr w:rsidR="0065491B" w:rsidRPr="00795412" w14:paraId="1A3C1A35" w14:textId="77777777" w:rsidTr="00C42770">
              <w:trPr>
                <w:trHeight w:val="300"/>
              </w:trPr>
              <w:tc>
                <w:tcPr>
                  <w:tcW w:w="868" w:type="dxa"/>
                  <w:shd w:val="clear" w:color="auto" w:fill="auto"/>
                  <w:noWrap/>
                  <w:vAlign w:val="center"/>
                  <w:hideMark/>
                </w:tcPr>
                <w:p w14:paraId="23A8EA13"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SST(B)</w:t>
                  </w:r>
                </w:p>
              </w:tc>
              <w:tc>
                <w:tcPr>
                  <w:tcW w:w="3879" w:type="dxa"/>
                  <w:shd w:val="clear" w:color="auto" w:fill="auto"/>
                  <w:noWrap/>
                  <w:vAlign w:val="center"/>
                  <w:hideMark/>
                </w:tcPr>
                <w:p w14:paraId="2228A47C"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Eco-labels</w:t>
                  </w:r>
                </w:p>
              </w:tc>
              <w:tc>
                <w:tcPr>
                  <w:tcW w:w="932" w:type="dxa"/>
                  <w:shd w:val="clear" w:color="auto" w:fill="auto"/>
                  <w:noWrap/>
                  <w:vAlign w:val="center"/>
                  <w:hideMark/>
                </w:tcPr>
                <w:p w14:paraId="0C3AEAC3"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5&lt;15</w:t>
                  </w:r>
                </w:p>
              </w:tc>
              <w:tc>
                <w:tcPr>
                  <w:tcW w:w="937" w:type="dxa"/>
                  <w:shd w:val="clear" w:color="auto" w:fill="auto"/>
                  <w:noWrap/>
                  <w:vAlign w:val="center"/>
                  <w:hideMark/>
                </w:tcPr>
                <w:p w14:paraId="4B4CF9C7"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3.1</w:t>
                  </w:r>
                </w:p>
              </w:tc>
              <w:tc>
                <w:tcPr>
                  <w:tcW w:w="1075" w:type="dxa"/>
                  <w:shd w:val="clear" w:color="auto" w:fill="auto"/>
                  <w:noWrap/>
                  <w:vAlign w:val="center"/>
                  <w:hideMark/>
                </w:tcPr>
                <w:p w14:paraId="6317374F"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1.5</w:t>
                  </w:r>
                </w:p>
              </w:tc>
              <w:tc>
                <w:tcPr>
                  <w:tcW w:w="1110" w:type="dxa"/>
                  <w:shd w:val="clear" w:color="auto" w:fill="auto"/>
                  <w:noWrap/>
                  <w:vAlign w:val="center"/>
                  <w:hideMark/>
                </w:tcPr>
                <w:p w14:paraId="0CB1C0BF" w14:textId="77777777" w:rsidR="00795412" w:rsidRPr="00795412" w:rsidRDefault="00795412"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4.6</w:t>
                  </w:r>
                </w:p>
              </w:tc>
            </w:tr>
            <w:tr w:rsidR="0065491B" w:rsidRPr="00795412" w14:paraId="087688E5" w14:textId="77777777" w:rsidTr="00C42770">
              <w:trPr>
                <w:trHeight w:val="530"/>
              </w:trPr>
              <w:tc>
                <w:tcPr>
                  <w:tcW w:w="868" w:type="dxa"/>
                  <w:shd w:val="clear" w:color="auto" w:fill="auto"/>
                  <w:noWrap/>
                  <w:vAlign w:val="center"/>
                  <w:hideMark/>
                </w:tcPr>
                <w:p w14:paraId="0EC62D49" w14:textId="77777777" w:rsidR="00795412" w:rsidRPr="00795412" w:rsidRDefault="00795412" w:rsidP="00C42770">
                  <w:pPr>
                    <w:spacing w:after="0" w:line="240" w:lineRule="auto"/>
                    <w:rPr>
                      <w:rFonts w:ascii="Calibri" w:eastAsia="Times New Roman" w:hAnsi="Calibri" w:cs="Times New Roman"/>
                      <w:color w:val="000000"/>
                    </w:rPr>
                  </w:pPr>
                </w:p>
              </w:tc>
              <w:tc>
                <w:tcPr>
                  <w:tcW w:w="3879" w:type="dxa"/>
                  <w:shd w:val="clear" w:color="auto" w:fill="auto"/>
                  <w:noWrap/>
                  <w:vAlign w:val="center"/>
                  <w:hideMark/>
                </w:tcPr>
                <w:p w14:paraId="63C40EAD" w14:textId="2202B8BC" w:rsidR="00795412" w:rsidRPr="00795412" w:rsidRDefault="0065491B" w:rsidP="00C42770">
                  <w:pPr>
                    <w:spacing w:after="0" w:line="240" w:lineRule="auto"/>
                    <w:rPr>
                      <w:rFonts w:ascii="Calibri" w:eastAsia="Times New Roman" w:hAnsi="Calibri" w:cs="Times New Roman"/>
                      <w:bCs/>
                      <w:color w:val="000000"/>
                    </w:rPr>
                  </w:pPr>
                  <w:r>
                    <w:rPr>
                      <w:rFonts w:ascii="Calibri" w:eastAsia="Times New Roman" w:hAnsi="Calibri" w:cs="Times New Roman"/>
                      <w:bCs/>
                      <w:color w:val="000000"/>
                    </w:rPr>
                    <w:t>DELIV</w:t>
                  </w:r>
                  <w:r w:rsidRPr="0065491B">
                    <w:rPr>
                      <w:rFonts w:ascii="Calibri" w:eastAsia="Times New Roman" w:hAnsi="Calibri" w:cs="Times New Roman"/>
                      <w:bCs/>
                      <w:color w:val="000000"/>
                    </w:rPr>
                    <w:t>ERING BETTER OUTPUT</w:t>
                  </w:r>
                </w:p>
              </w:tc>
              <w:tc>
                <w:tcPr>
                  <w:tcW w:w="932" w:type="dxa"/>
                  <w:shd w:val="clear" w:color="auto" w:fill="auto"/>
                  <w:noWrap/>
                  <w:vAlign w:val="center"/>
                  <w:hideMark/>
                </w:tcPr>
                <w:p w14:paraId="7373F5C9" w14:textId="77777777" w:rsidR="00795412" w:rsidRPr="00795412" w:rsidRDefault="00795412" w:rsidP="00C42770">
                  <w:pPr>
                    <w:spacing w:after="0" w:line="240" w:lineRule="auto"/>
                    <w:rPr>
                      <w:rFonts w:ascii="Calibri" w:eastAsia="Times New Roman" w:hAnsi="Calibri" w:cs="Times New Roman"/>
                      <w:b/>
                      <w:bCs/>
                      <w:color w:val="000000"/>
                    </w:rPr>
                  </w:pPr>
                </w:p>
              </w:tc>
              <w:tc>
                <w:tcPr>
                  <w:tcW w:w="937" w:type="dxa"/>
                  <w:shd w:val="clear" w:color="auto" w:fill="auto"/>
                  <w:noWrap/>
                  <w:vAlign w:val="center"/>
                  <w:hideMark/>
                </w:tcPr>
                <w:p w14:paraId="42A91249" w14:textId="77777777" w:rsidR="00795412" w:rsidRPr="00795412" w:rsidRDefault="00795412" w:rsidP="00C42770">
                  <w:pPr>
                    <w:spacing w:after="0" w:line="240" w:lineRule="auto"/>
                    <w:rPr>
                      <w:rFonts w:ascii="Calibri" w:eastAsia="Times New Roman" w:hAnsi="Calibri" w:cs="Times New Roman"/>
                      <w:b/>
                      <w:bCs/>
                      <w:color w:val="000000"/>
                    </w:rPr>
                  </w:pPr>
                  <w:r w:rsidRPr="00795412">
                    <w:rPr>
                      <w:rFonts w:ascii="Calibri" w:eastAsia="Times New Roman" w:hAnsi="Calibri" w:cs="Times New Roman"/>
                      <w:b/>
                      <w:bCs/>
                      <w:color w:val="000000"/>
                    </w:rPr>
                    <w:t>6.1</w:t>
                  </w:r>
                </w:p>
              </w:tc>
              <w:tc>
                <w:tcPr>
                  <w:tcW w:w="1075" w:type="dxa"/>
                  <w:shd w:val="clear" w:color="auto" w:fill="auto"/>
                  <w:noWrap/>
                  <w:vAlign w:val="center"/>
                  <w:hideMark/>
                </w:tcPr>
                <w:p w14:paraId="6B2F5482" w14:textId="77777777" w:rsidR="00795412" w:rsidRPr="00795412" w:rsidRDefault="00795412" w:rsidP="00C42770">
                  <w:pPr>
                    <w:spacing w:after="0" w:line="240" w:lineRule="auto"/>
                    <w:rPr>
                      <w:rFonts w:ascii="Calibri" w:eastAsia="Times New Roman" w:hAnsi="Calibri" w:cs="Times New Roman"/>
                      <w:b/>
                      <w:bCs/>
                      <w:color w:val="000000"/>
                    </w:rPr>
                  </w:pPr>
                  <w:r w:rsidRPr="00795412">
                    <w:rPr>
                      <w:rFonts w:ascii="Calibri" w:eastAsia="Times New Roman" w:hAnsi="Calibri" w:cs="Times New Roman"/>
                      <w:b/>
                      <w:bCs/>
                      <w:color w:val="000000"/>
                    </w:rPr>
                    <w:t>3.1</w:t>
                  </w:r>
                </w:p>
              </w:tc>
              <w:tc>
                <w:tcPr>
                  <w:tcW w:w="1110" w:type="dxa"/>
                  <w:shd w:val="clear" w:color="auto" w:fill="auto"/>
                  <w:noWrap/>
                  <w:vAlign w:val="center"/>
                  <w:hideMark/>
                </w:tcPr>
                <w:p w14:paraId="11C9DED7" w14:textId="77777777" w:rsidR="00795412" w:rsidRPr="00795412" w:rsidRDefault="00795412" w:rsidP="00C42770">
                  <w:pPr>
                    <w:spacing w:after="0" w:line="240" w:lineRule="auto"/>
                    <w:rPr>
                      <w:rFonts w:ascii="Calibri" w:eastAsia="Times New Roman" w:hAnsi="Calibri" w:cs="Times New Roman"/>
                      <w:b/>
                      <w:bCs/>
                      <w:color w:val="000000"/>
                    </w:rPr>
                  </w:pPr>
                  <w:r w:rsidRPr="00795412">
                    <w:rPr>
                      <w:rFonts w:ascii="Calibri" w:eastAsia="Times New Roman" w:hAnsi="Calibri" w:cs="Times New Roman"/>
                      <w:b/>
                      <w:bCs/>
                      <w:color w:val="000000"/>
                    </w:rPr>
                    <w:t>9.2</w:t>
                  </w:r>
                </w:p>
              </w:tc>
            </w:tr>
            <w:tr w:rsidR="0065491B" w:rsidRPr="00795412" w14:paraId="46FCBE8C" w14:textId="77777777" w:rsidTr="00C42770">
              <w:trPr>
                <w:trHeight w:val="300"/>
              </w:trPr>
              <w:tc>
                <w:tcPr>
                  <w:tcW w:w="4747" w:type="dxa"/>
                  <w:gridSpan w:val="2"/>
                  <w:vMerge w:val="restart"/>
                  <w:shd w:val="clear" w:color="auto" w:fill="auto"/>
                  <w:noWrap/>
                  <w:vAlign w:val="center"/>
                  <w:hideMark/>
                </w:tcPr>
                <w:p w14:paraId="13AAE08C" w14:textId="77777777" w:rsidR="0065491B" w:rsidRPr="00795412" w:rsidRDefault="0065491B"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Total estimated revenue</w:t>
                  </w:r>
                </w:p>
              </w:tc>
              <w:tc>
                <w:tcPr>
                  <w:tcW w:w="932" w:type="dxa"/>
                  <w:shd w:val="clear" w:color="auto" w:fill="auto"/>
                  <w:noWrap/>
                  <w:vAlign w:val="center"/>
                  <w:hideMark/>
                </w:tcPr>
                <w:p w14:paraId="1D7523FE" w14:textId="77777777" w:rsidR="0065491B" w:rsidRPr="00795412" w:rsidRDefault="0065491B"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LKR billion</w:t>
                  </w:r>
                </w:p>
              </w:tc>
              <w:tc>
                <w:tcPr>
                  <w:tcW w:w="937" w:type="dxa"/>
                  <w:shd w:val="clear" w:color="auto" w:fill="auto"/>
                  <w:noWrap/>
                  <w:vAlign w:val="center"/>
                  <w:hideMark/>
                </w:tcPr>
                <w:p w14:paraId="31F2858A" w14:textId="77777777" w:rsidR="0065491B" w:rsidRPr="00795412" w:rsidRDefault="0065491B"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33.3</w:t>
                  </w:r>
                </w:p>
              </w:tc>
              <w:tc>
                <w:tcPr>
                  <w:tcW w:w="1075" w:type="dxa"/>
                  <w:shd w:val="clear" w:color="auto" w:fill="auto"/>
                  <w:noWrap/>
                  <w:vAlign w:val="center"/>
                  <w:hideMark/>
                </w:tcPr>
                <w:p w14:paraId="3FF9D6CD" w14:textId="77777777" w:rsidR="0065491B" w:rsidRPr="00795412" w:rsidRDefault="0065491B"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20.0</w:t>
                  </w:r>
                </w:p>
              </w:tc>
              <w:tc>
                <w:tcPr>
                  <w:tcW w:w="1110" w:type="dxa"/>
                  <w:shd w:val="clear" w:color="auto" w:fill="auto"/>
                  <w:noWrap/>
                  <w:vAlign w:val="center"/>
                  <w:hideMark/>
                </w:tcPr>
                <w:p w14:paraId="6EB23DE0" w14:textId="77777777" w:rsidR="0065491B" w:rsidRPr="00795412" w:rsidRDefault="0065491B"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46.7</w:t>
                  </w:r>
                </w:p>
              </w:tc>
            </w:tr>
            <w:tr w:rsidR="0065491B" w:rsidRPr="00795412" w14:paraId="327DF479" w14:textId="77777777" w:rsidTr="00C42770">
              <w:trPr>
                <w:trHeight w:val="300"/>
              </w:trPr>
              <w:tc>
                <w:tcPr>
                  <w:tcW w:w="4747" w:type="dxa"/>
                  <w:gridSpan w:val="2"/>
                  <w:vMerge/>
                  <w:shd w:val="clear" w:color="auto" w:fill="auto"/>
                  <w:noWrap/>
                  <w:vAlign w:val="center"/>
                  <w:hideMark/>
                </w:tcPr>
                <w:p w14:paraId="15023B49" w14:textId="77777777" w:rsidR="0065491B" w:rsidRPr="00795412" w:rsidRDefault="0065491B" w:rsidP="00C42770">
                  <w:pPr>
                    <w:spacing w:after="0" w:line="240" w:lineRule="auto"/>
                    <w:rPr>
                      <w:rFonts w:ascii="Times New Roman" w:eastAsia="Times New Roman" w:hAnsi="Times New Roman" w:cs="Times New Roman"/>
                      <w:sz w:val="20"/>
                      <w:szCs w:val="20"/>
                    </w:rPr>
                  </w:pPr>
                </w:p>
              </w:tc>
              <w:tc>
                <w:tcPr>
                  <w:tcW w:w="932" w:type="dxa"/>
                  <w:shd w:val="clear" w:color="auto" w:fill="auto"/>
                  <w:noWrap/>
                  <w:vAlign w:val="center"/>
                  <w:hideMark/>
                </w:tcPr>
                <w:p w14:paraId="11A91B3E" w14:textId="77777777" w:rsidR="0065491B" w:rsidRPr="00795412" w:rsidRDefault="0065491B"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USD million</w:t>
                  </w:r>
                </w:p>
              </w:tc>
              <w:tc>
                <w:tcPr>
                  <w:tcW w:w="937" w:type="dxa"/>
                  <w:shd w:val="clear" w:color="auto" w:fill="auto"/>
                  <w:noWrap/>
                  <w:vAlign w:val="center"/>
                  <w:hideMark/>
                </w:tcPr>
                <w:p w14:paraId="1F86C416" w14:textId="77777777" w:rsidR="0065491B" w:rsidRPr="00795412" w:rsidRDefault="0065491B"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185.2</w:t>
                  </w:r>
                </w:p>
              </w:tc>
              <w:tc>
                <w:tcPr>
                  <w:tcW w:w="1075" w:type="dxa"/>
                  <w:shd w:val="clear" w:color="auto" w:fill="auto"/>
                  <w:noWrap/>
                  <w:vAlign w:val="center"/>
                  <w:hideMark/>
                </w:tcPr>
                <w:p w14:paraId="101D3A11" w14:textId="77777777" w:rsidR="0065491B" w:rsidRPr="00795412" w:rsidRDefault="0065491B"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111.1</w:t>
                  </w:r>
                </w:p>
              </w:tc>
              <w:tc>
                <w:tcPr>
                  <w:tcW w:w="1110" w:type="dxa"/>
                  <w:shd w:val="clear" w:color="auto" w:fill="auto"/>
                  <w:noWrap/>
                  <w:vAlign w:val="center"/>
                  <w:hideMark/>
                </w:tcPr>
                <w:p w14:paraId="4C4948E2" w14:textId="77777777" w:rsidR="0065491B" w:rsidRPr="00795412" w:rsidRDefault="0065491B" w:rsidP="00C42770">
                  <w:pPr>
                    <w:spacing w:after="0" w:line="240" w:lineRule="auto"/>
                    <w:rPr>
                      <w:rFonts w:ascii="Calibri" w:eastAsia="Times New Roman" w:hAnsi="Calibri" w:cs="Times New Roman"/>
                      <w:color w:val="000000"/>
                    </w:rPr>
                  </w:pPr>
                  <w:r w:rsidRPr="00795412">
                    <w:rPr>
                      <w:rFonts w:ascii="Calibri" w:eastAsia="Times New Roman" w:hAnsi="Calibri" w:cs="Times New Roman"/>
                      <w:color w:val="000000"/>
                    </w:rPr>
                    <w:t>259.4</w:t>
                  </w:r>
                </w:p>
              </w:tc>
            </w:tr>
            <w:tr w:rsidR="0065491B" w:rsidRPr="00795412" w14:paraId="3EA6002E" w14:textId="77777777" w:rsidTr="00C42770">
              <w:trPr>
                <w:trHeight w:val="300"/>
              </w:trPr>
              <w:tc>
                <w:tcPr>
                  <w:tcW w:w="8801" w:type="dxa"/>
                  <w:gridSpan w:val="6"/>
                  <w:shd w:val="clear" w:color="auto" w:fill="auto"/>
                  <w:noWrap/>
                  <w:vAlign w:val="center"/>
                  <w:hideMark/>
                </w:tcPr>
                <w:p w14:paraId="007C611B" w14:textId="79EC62F6" w:rsidR="0065491B" w:rsidRPr="00795412" w:rsidRDefault="0065491B" w:rsidP="00C42770">
                  <w:pPr>
                    <w:spacing w:after="0" w:line="240" w:lineRule="auto"/>
                    <w:rPr>
                      <w:rFonts w:ascii="Times New Roman" w:eastAsia="Times New Roman" w:hAnsi="Times New Roman" w:cs="Times New Roman"/>
                      <w:sz w:val="20"/>
                      <w:szCs w:val="20"/>
                    </w:rPr>
                  </w:pPr>
                  <w:r w:rsidRPr="00795412">
                    <w:rPr>
                      <w:rFonts w:ascii="Calibri" w:eastAsia="Times New Roman" w:hAnsi="Calibri" w:cs="Times New Roman"/>
                      <w:color w:val="000000"/>
                    </w:rPr>
                    <w:t>Exchange rate: US$1 = LKR 180</w:t>
                  </w:r>
                </w:p>
              </w:tc>
            </w:tr>
          </w:tbl>
          <w:p w14:paraId="6BF8CCB0" w14:textId="77777777" w:rsidR="008A0C96" w:rsidRDefault="008A0C96" w:rsidP="00FF6715"/>
          <w:p w14:paraId="107B13D5" w14:textId="77777777" w:rsidR="00A541CA" w:rsidRDefault="00A541CA" w:rsidP="00C42770"/>
          <w:p w14:paraId="74B68BF0" w14:textId="77777777" w:rsidR="00A541CA" w:rsidRDefault="00A541CA" w:rsidP="00C42770"/>
          <w:p w14:paraId="55D6B091" w14:textId="77777777" w:rsidR="00F56999" w:rsidRDefault="00F56999" w:rsidP="00FF6715"/>
          <w:p w14:paraId="27531E43" w14:textId="77777777" w:rsidR="00FA0940" w:rsidRDefault="00FA0940" w:rsidP="00FF6715"/>
          <w:p w14:paraId="125A3022" w14:textId="601A07C9" w:rsidR="00A541CA" w:rsidRDefault="00A541CA" w:rsidP="00FF6715"/>
        </w:tc>
      </w:tr>
      <w:tr w:rsidR="00A541CA" w:rsidRPr="00733AAA" w14:paraId="78267536" w14:textId="77777777" w:rsidTr="00A541CA">
        <w:trPr>
          <w:trHeight w:val="720"/>
        </w:trPr>
        <w:tc>
          <w:tcPr>
            <w:tcW w:w="9027" w:type="dxa"/>
            <w:gridSpan w:val="2"/>
            <w:tcBorders>
              <w:top w:val="nil"/>
            </w:tcBorders>
            <w:shd w:val="clear" w:color="auto" w:fill="DEEAF6" w:themeFill="accent1" w:themeFillTint="33"/>
            <w:vAlign w:val="center"/>
          </w:tcPr>
          <w:p w14:paraId="05D28434" w14:textId="1C576713" w:rsidR="00A541CA" w:rsidRPr="00A541CA" w:rsidRDefault="00A541CA" w:rsidP="00A541CA">
            <w:pPr>
              <w:jc w:val="center"/>
              <w:rPr>
                <w:b/>
              </w:rPr>
            </w:pPr>
            <w:r w:rsidRPr="00A541CA">
              <w:rPr>
                <w:b/>
                <w:shd w:val="clear" w:color="auto" w:fill="DEEAF6" w:themeFill="accent1" w:themeFillTint="33"/>
              </w:rPr>
              <w:t>Generic description of the Prioritized finance solutions</w:t>
            </w:r>
          </w:p>
        </w:tc>
      </w:tr>
      <w:tr w:rsidR="00674125" w:rsidRPr="00733AAA" w14:paraId="7FDE6E7B" w14:textId="77777777" w:rsidTr="00A541CA">
        <w:trPr>
          <w:trHeight w:val="962"/>
        </w:trPr>
        <w:tc>
          <w:tcPr>
            <w:tcW w:w="3535" w:type="dxa"/>
            <w:tcBorders>
              <w:top w:val="single" w:sz="4" w:space="0" w:color="auto"/>
            </w:tcBorders>
            <w:shd w:val="clear" w:color="auto" w:fill="DEEAF6" w:themeFill="accent1" w:themeFillTint="33"/>
            <w:vAlign w:val="center"/>
          </w:tcPr>
          <w:p w14:paraId="65386C56" w14:textId="77777777" w:rsidR="00674125" w:rsidRDefault="00674125" w:rsidP="008F484B">
            <w:pPr>
              <w:pStyle w:val="ListParagraph"/>
              <w:numPr>
                <w:ilvl w:val="0"/>
                <w:numId w:val="7"/>
              </w:numPr>
              <w:ind w:left="522" w:hanging="450"/>
            </w:pPr>
            <w:r w:rsidRPr="00674125">
              <w:t>Sustainable Standards and Certification</w:t>
            </w:r>
          </w:p>
        </w:tc>
        <w:tc>
          <w:tcPr>
            <w:tcW w:w="5492" w:type="dxa"/>
            <w:tcBorders>
              <w:top w:val="single" w:sz="4" w:space="0" w:color="auto"/>
            </w:tcBorders>
            <w:shd w:val="clear" w:color="auto" w:fill="DEEAF6" w:themeFill="accent1" w:themeFillTint="33"/>
            <w:vAlign w:val="center"/>
          </w:tcPr>
          <w:p w14:paraId="40A11CE6" w14:textId="77777777" w:rsidR="00674125" w:rsidRDefault="00A56BD4" w:rsidP="00FD1246">
            <w:pPr>
              <w:jc w:val="both"/>
            </w:pPr>
            <w:r>
              <w:t xml:space="preserve">A voluntary certification of sustainable standards </w:t>
            </w:r>
            <w:r w:rsidR="00ED5356">
              <w:t>applied mainly to</w:t>
            </w:r>
            <w:r>
              <w:t xml:space="preserve"> key sectors and economic activities, avoid</w:t>
            </w:r>
            <w:r w:rsidR="00ED5356">
              <w:t>ing future spending; a private contribution to biodiversity</w:t>
            </w:r>
          </w:p>
        </w:tc>
      </w:tr>
      <w:tr w:rsidR="00674125" w:rsidRPr="00733AAA" w14:paraId="2D6C1E18" w14:textId="77777777" w:rsidTr="00A541CA">
        <w:trPr>
          <w:trHeight w:val="1178"/>
        </w:trPr>
        <w:tc>
          <w:tcPr>
            <w:tcW w:w="3535" w:type="dxa"/>
            <w:shd w:val="clear" w:color="auto" w:fill="DEEAF6" w:themeFill="accent1" w:themeFillTint="33"/>
            <w:vAlign w:val="center"/>
          </w:tcPr>
          <w:p w14:paraId="1341571A" w14:textId="77777777" w:rsidR="00674125" w:rsidRDefault="00A56BD4" w:rsidP="008F484B">
            <w:pPr>
              <w:pStyle w:val="ListParagraph"/>
              <w:numPr>
                <w:ilvl w:val="0"/>
                <w:numId w:val="7"/>
              </w:numPr>
              <w:ind w:left="522" w:hanging="450"/>
            </w:pPr>
            <w:r w:rsidRPr="00A56BD4">
              <w:t>Eco-labels</w:t>
            </w:r>
          </w:p>
        </w:tc>
        <w:tc>
          <w:tcPr>
            <w:tcW w:w="5492" w:type="dxa"/>
            <w:shd w:val="clear" w:color="auto" w:fill="DEEAF6" w:themeFill="accent1" w:themeFillTint="33"/>
            <w:vAlign w:val="center"/>
          </w:tcPr>
          <w:p w14:paraId="4CB74202" w14:textId="77777777" w:rsidR="00674125" w:rsidRDefault="00A56BD4" w:rsidP="00FD1246">
            <w:pPr>
              <w:jc w:val="both"/>
            </w:pPr>
            <w:r w:rsidRPr="00A56BD4">
              <w:t xml:space="preserve">A voluntary </w:t>
            </w:r>
            <w:r w:rsidR="002C2BE3">
              <w:t xml:space="preserve">green </w:t>
            </w:r>
            <w:r>
              <w:t xml:space="preserve">labelling with certified environmental and health standards for production </w:t>
            </w:r>
            <w:r w:rsidR="002C2BE3">
              <w:t xml:space="preserve">and consumption </w:t>
            </w:r>
            <w:r>
              <w:t>of goods and services</w:t>
            </w:r>
            <w:r w:rsidRPr="00A56BD4">
              <w:t xml:space="preserve">: </w:t>
            </w:r>
            <w:r w:rsidR="00590762">
              <w:t>a system of</w:t>
            </w:r>
            <w:r w:rsidR="002C2BE3">
              <w:t xml:space="preserve"> “better delivery</w:t>
            </w:r>
            <w:r w:rsidR="00590762">
              <w:t>” by the private sector</w:t>
            </w:r>
          </w:p>
        </w:tc>
      </w:tr>
      <w:tr w:rsidR="00674125" w:rsidRPr="00733AAA" w14:paraId="6967CFBD" w14:textId="77777777" w:rsidTr="00A541CA">
        <w:trPr>
          <w:trHeight w:val="890"/>
        </w:trPr>
        <w:tc>
          <w:tcPr>
            <w:tcW w:w="3535" w:type="dxa"/>
            <w:shd w:val="clear" w:color="auto" w:fill="DEEAF6" w:themeFill="accent1" w:themeFillTint="33"/>
            <w:vAlign w:val="center"/>
          </w:tcPr>
          <w:p w14:paraId="27CB509E" w14:textId="77777777" w:rsidR="00674125" w:rsidRDefault="002C2BE3" w:rsidP="008F484B">
            <w:pPr>
              <w:pStyle w:val="ListParagraph"/>
              <w:numPr>
                <w:ilvl w:val="0"/>
                <w:numId w:val="7"/>
              </w:numPr>
              <w:ind w:left="522" w:hanging="450"/>
            </w:pPr>
            <w:r w:rsidRPr="002C2BE3">
              <w:t>Green lending</w:t>
            </w:r>
          </w:p>
        </w:tc>
        <w:tc>
          <w:tcPr>
            <w:tcW w:w="5492" w:type="dxa"/>
            <w:shd w:val="clear" w:color="auto" w:fill="DEEAF6" w:themeFill="accent1" w:themeFillTint="33"/>
            <w:vAlign w:val="center"/>
          </w:tcPr>
          <w:p w14:paraId="3DE08554" w14:textId="77777777" w:rsidR="00674125" w:rsidRDefault="00AE665B" w:rsidP="00FD1246">
            <w:pPr>
              <w:jc w:val="both"/>
            </w:pPr>
            <w:r>
              <w:t>A mechanism for re-aligning business lending by the banks and other financial institutes</w:t>
            </w:r>
            <w:r w:rsidR="00590762">
              <w:t>, with private contribution to investment in biodiversity</w:t>
            </w:r>
          </w:p>
        </w:tc>
      </w:tr>
      <w:tr w:rsidR="00674125" w:rsidRPr="00733AAA" w14:paraId="0F804150" w14:textId="77777777" w:rsidTr="00A541CA">
        <w:trPr>
          <w:trHeight w:val="908"/>
        </w:trPr>
        <w:tc>
          <w:tcPr>
            <w:tcW w:w="3535" w:type="dxa"/>
            <w:shd w:val="clear" w:color="auto" w:fill="DEEAF6" w:themeFill="accent1" w:themeFillTint="33"/>
            <w:vAlign w:val="center"/>
          </w:tcPr>
          <w:p w14:paraId="4E9978E6" w14:textId="77777777" w:rsidR="00674125" w:rsidRDefault="008F484B" w:rsidP="008F484B">
            <w:pPr>
              <w:pStyle w:val="ListParagraph"/>
              <w:numPr>
                <w:ilvl w:val="0"/>
                <w:numId w:val="7"/>
              </w:numPr>
              <w:ind w:left="522" w:hanging="450"/>
            </w:pPr>
            <w:r w:rsidRPr="008F484B">
              <w:t>Corporate Social Responsibility</w:t>
            </w:r>
          </w:p>
        </w:tc>
        <w:tc>
          <w:tcPr>
            <w:tcW w:w="5492" w:type="dxa"/>
            <w:shd w:val="clear" w:color="auto" w:fill="DEEAF6" w:themeFill="accent1" w:themeFillTint="33"/>
            <w:vAlign w:val="center"/>
          </w:tcPr>
          <w:p w14:paraId="70BFF754" w14:textId="77777777" w:rsidR="00674125" w:rsidRDefault="008F484B" w:rsidP="00FD1246">
            <w:pPr>
              <w:jc w:val="both"/>
            </w:pPr>
            <w:r>
              <w:t>A system of promoting increased share of CSR allocation on biodiversity that would lead to a re-alignment of pri</w:t>
            </w:r>
            <w:r w:rsidR="00A57B83">
              <w:t>vate spending under CSR budgets</w:t>
            </w:r>
          </w:p>
        </w:tc>
      </w:tr>
      <w:tr w:rsidR="00674125" w:rsidRPr="00733AAA" w14:paraId="0BE5F7CB" w14:textId="77777777" w:rsidTr="00A541CA">
        <w:trPr>
          <w:trHeight w:val="962"/>
        </w:trPr>
        <w:tc>
          <w:tcPr>
            <w:tcW w:w="3535" w:type="dxa"/>
            <w:shd w:val="clear" w:color="auto" w:fill="DEEAF6" w:themeFill="accent1" w:themeFillTint="33"/>
            <w:vAlign w:val="center"/>
          </w:tcPr>
          <w:p w14:paraId="46564DD7" w14:textId="77777777" w:rsidR="00674125" w:rsidRPr="00733AAA" w:rsidRDefault="00674125" w:rsidP="00BD3C10">
            <w:pPr>
              <w:pStyle w:val="ListParagraph"/>
              <w:numPr>
                <w:ilvl w:val="0"/>
                <w:numId w:val="7"/>
              </w:numPr>
              <w:ind w:left="522" w:hanging="450"/>
            </w:pPr>
            <w:r>
              <w:t>Lotteries</w:t>
            </w:r>
          </w:p>
        </w:tc>
        <w:tc>
          <w:tcPr>
            <w:tcW w:w="5492" w:type="dxa"/>
            <w:shd w:val="clear" w:color="auto" w:fill="DEEAF6" w:themeFill="accent1" w:themeFillTint="33"/>
            <w:vAlign w:val="center"/>
          </w:tcPr>
          <w:p w14:paraId="77F4F849" w14:textId="77777777" w:rsidR="00674125" w:rsidRPr="00733AAA" w:rsidRDefault="00674125" w:rsidP="00FD1246">
            <w:pPr>
              <w:jc w:val="both"/>
            </w:pPr>
            <w:r>
              <w:t xml:space="preserve">A </w:t>
            </w:r>
            <w:r w:rsidR="0030726F">
              <w:t>new financing source</w:t>
            </w:r>
            <w:r>
              <w:t xml:space="preserve"> for mobilizing funds for the specific purpose of investing in biodiversity</w:t>
            </w:r>
            <w:r w:rsidR="008F484B">
              <w:t xml:space="preserve">; private contribution that </w:t>
            </w:r>
            <w:proofErr w:type="gramStart"/>
            <w:r w:rsidR="008F484B">
              <w:t>has to</w:t>
            </w:r>
            <w:proofErr w:type="gramEnd"/>
            <w:r w:rsidR="008F484B">
              <w:t xml:space="preserve"> be managed by the government</w:t>
            </w:r>
          </w:p>
        </w:tc>
      </w:tr>
      <w:tr w:rsidR="00674125" w:rsidRPr="00733AAA" w14:paraId="29DE8B48" w14:textId="77777777" w:rsidTr="00A541CA">
        <w:trPr>
          <w:trHeight w:val="998"/>
        </w:trPr>
        <w:tc>
          <w:tcPr>
            <w:tcW w:w="3535" w:type="dxa"/>
            <w:shd w:val="clear" w:color="auto" w:fill="DEEAF6" w:themeFill="accent1" w:themeFillTint="33"/>
            <w:vAlign w:val="center"/>
          </w:tcPr>
          <w:p w14:paraId="105FD02F" w14:textId="77777777" w:rsidR="00674125" w:rsidRPr="00733AAA" w:rsidRDefault="00674125" w:rsidP="00BE19DA">
            <w:pPr>
              <w:pStyle w:val="ListParagraph"/>
              <w:numPr>
                <w:ilvl w:val="0"/>
                <w:numId w:val="7"/>
              </w:numPr>
              <w:ind w:left="527" w:hanging="450"/>
            </w:pPr>
            <w:r w:rsidRPr="00BD3C10">
              <w:t>Payment for Ecosystem Services</w:t>
            </w:r>
          </w:p>
        </w:tc>
        <w:tc>
          <w:tcPr>
            <w:tcW w:w="5492" w:type="dxa"/>
            <w:shd w:val="clear" w:color="auto" w:fill="DEEAF6" w:themeFill="accent1" w:themeFillTint="33"/>
            <w:vAlign w:val="center"/>
          </w:tcPr>
          <w:p w14:paraId="46C25FB5" w14:textId="77777777" w:rsidR="00674125" w:rsidRPr="00733AAA" w:rsidRDefault="0030726F" w:rsidP="00FD1246">
            <w:pPr>
              <w:jc w:val="both"/>
            </w:pPr>
            <w:r>
              <w:t xml:space="preserve">A new financing source for paying directly or indirectly for ecosystem services and negative </w:t>
            </w:r>
            <w:r w:rsidR="00A57B83">
              <w:t>externalities either with private or public involvement</w:t>
            </w:r>
          </w:p>
        </w:tc>
      </w:tr>
      <w:tr w:rsidR="00674125" w:rsidRPr="00733AAA" w14:paraId="5091D24F" w14:textId="77777777" w:rsidTr="00A541CA">
        <w:trPr>
          <w:trHeight w:val="1232"/>
        </w:trPr>
        <w:tc>
          <w:tcPr>
            <w:tcW w:w="3535" w:type="dxa"/>
            <w:shd w:val="clear" w:color="auto" w:fill="DEEAF6" w:themeFill="accent1" w:themeFillTint="33"/>
            <w:vAlign w:val="center"/>
          </w:tcPr>
          <w:p w14:paraId="59920B8B" w14:textId="77777777" w:rsidR="00674125" w:rsidRPr="00733AAA" w:rsidRDefault="00674125" w:rsidP="00BD3C10">
            <w:pPr>
              <w:pStyle w:val="ListParagraph"/>
              <w:numPr>
                <w:ilvl w:val="0"/>
                <w:numId w:val="7"/>
              </w:numPr>
              <w:ind w:left="522" w:hanging="450"/>
            </w:pPr>
            <w:r>
              <w:t>Green bonds</w:t>
            </w:r>
          </w:p>
        </w:tc>
        <w:tc>
          <w:tcPr>
            <w:tcW w:w="5492" w:type="dxa"/>
            <w:shd w:val="clear" w:color="auto" w:fill="DEEAF6" w:themeFill="accent1" w:themeFillTint="33"/>
            <w:vAlign w:val="center"/>
          </w:tcPr>
          <w:p w14:paraId="52D1AAC9" w14:textId="77777777" w:rsidR="00674125" w:rsidRPr="00733AAA" w:rsidRDefault="00A57B83" w:rsidP="00FD1246">
            <w:pPr>
              <w:jc w:val="both"/>
            </w:pPr>
            <w:r>
              <w:t xml:space="preserve">Issuing </w:t>
            </w:r>
            <w:r w:rsidR="00674125">
              <w:t xml:space="preserve">green bonds is </w:t>
            </w:r>
            <w:r>
              <w:t xml:space="preserve">a new source of financing that can mobilize </w:t>
            </w:r>
            <w:r w:rsidR="00674125">
              <w:t>large amount of financial resources</w:t>
            </w:r>
            <w:r>
              <w:t xml:space="preserve"> by the public sector as per the financial regulatory mechanism</w:t>
            </w:r>
            <w:r w:rsidR="00674125">
              <w:t>, subject to the country’s deb</w:t>
            </w:r>
            <w:r w:rsidR="004515A6">
              <w:t>t servicing capacity</w:t>
            </w:r>
          </w:p>
        </w:tc>
      </w:tr>
      <w:tr w:rsidR="00A57B83" w:rsidRPr="00733AAA" w14:paraId="1EA3D15E" w14:textId="77777777" w:rsidTr="00A541CA">
        <w:trPr>
          <w:trHeight w:val="908"/>
        </w:trPr>
        <w:tc>
          <w:tcPr>
            <w:tcW w:w="3535" w:type="dxa"/>
            <w:shd w:val="clear" w:color="auto" w:fill="DEEAF6" w:themeFill="accent1" w:themeFillTint="33"/>
            <w:vAlign w:val="center"/>
          </w:tcPr>
          <w:p w14:paraId="053E131E" w14:textId="77777777" w:rsidR="00A57B83" w:rsidRDefault="002151DE" w:rsidP="002151DE">
            <w:pPr>
              <w:pStyle w:val="ListParagraph"/>
              <w:numPr>
                <w:ilvl w:val="0"/>
                <w:numId w:val="7"/>
              </w:numPr>
              <w:ind w:left="522" w:hanging="450"/>
            </w:pPr>
            <w:r w:rsidRPr="002151DE">
              <w:t>Eco-tourism</w:t>
            </w:r>
          </w:p>
        </w:tc>
        <w:tc>
          <w:tcPr>
            <w:tcW w:w="5492" w:type="dxa"/>
            <w:shd w:val="clear" w:color="auto" w:fill="DEEAF6" w:themeFill="accent1" w:themeFillTint="33"/>
            <w:vAlign w:val="center"/>
          </w:tcPr>
          <w:p w14:paraId="39702763" w14:textId="77777777" w:rsidR="00A57B83" w:rsidRDefault="004515A6" w:rsidP="00FD1246">
            <w:pPr>
              <w:jc w:val="both"/>
            </w:pPr>
            <w:r>
              <w:t>The promotion of eco-tourism as part of the thriving tourism industry improves d</w:t>
            </w:r>
            <w:r w:rsidR="004A7C35">
              <w:t>elivering better</w:t>
            </w:r>
            <w:r>
              <w:t xml:space="preserve"> tourism services with private contribution to biodiversity</w:t>
            </w:r>
          </w:p>
        </w:tc>
      </w:tr>
      <w:tr w:rsidR="00674125" w:rsidRPr="00733AAA" w14:paraId="528BF813" w14:textId="77777777" w:rsidTr="00A541CA">
        <w:trPr>
          <w:trHeight w:val="980"/>
        </w:trPr>
        <w:tc>
          <w:tcPr>
            <w:tcW w:w="3535" w:type="dxa"/>
            <w:shd w:val="clear" w:color="auto" w:fill="DEEAF6" w:themeFill="accent1" w:themeFillTint="33"/>
            <w:vAlign w:val="center"/>
          </w:tcPr>
          <w:p w14:paraId="0DA3B2CE" w14:textId="77777777" w:rsidR="00674125" w:rsidRPr="00733AAA" w:rsidRDefault="00674125" w:rsidP="00487232">
            <w:pPr>
              <w:pStyle w:val="ListParagraph"/>
              <w:numPr>
                <w:ilvl w:val="0"/>
                <w:numId w:val="7"/>
              </w:numPr>
              <w:ind w:left="522" w:hanging="450"/>
            </w:pPr>
            <w:r>
              <w:t>Conservation</w:t>
            </w:r>
            <w:r w:rsidRPr="00733AAA">
              <w:t xml:space="preserve"> licence plates </w:t>
            </w:r>
          </w:p>
        </w:tc>
        <w:tc>
          <w:tcPr>
            <w:tcW w:w="5492" w:type="dxa"/>
            <w:shd w:val="clear" w:color="auto" w:fill="DEEAF6" w:themeFill="accent1" w:themeFillTint="33"/>
            <w:vAlign w:val="center"/>
          </w:tcPr>
          <w:p w14:paraId="5C0F5064" w14:textId="77777777" w:rsidR="00674125" w:rsidRPr="00733AAA" w:rsidRDefault="00674125" w:rsidP="00FD1246">
            <w:pPr>
              <w:jc w:val="both"/>
            </w:pPr>
            <w:r>
              <w:t>A feasible source of funding, but the resource mobilization capacity is small due to the small size of the</w:t>
            </w:r>
            <w:r w:rsidR="004515A6">
              <w:t xml:space="preserve"> country and the vehicle market</w:t>
            </w:r>
          </w:p>
        </w:tc>
      </w:tr>
      <w:tr w:rsidR="00674125" w:rsidRPr="00733AAA" w14:paraId="0C6A32E8" w14:textId="77777777" w:rsidTr="00A541CA">
        <w:trPr>
          <w:trHeight w:val="998"/>
        </w:trPr>
        <w:tc>
          <w:tcPr>
            <w:tcW w:w="3535" w:type="dxa"/>
            <w:shd w:val="clear" w:color="auto" w:fill="DEEAF6" w:themeFill="accent1" w:themeFillTint="33"/>
            <w:vAlign w:val="center"/>
          </w:tcPr>
          <w:p w14:paraId="5EB8D262" w14:textId="77777777" w:rsidR="00674125" w:rsidRPr="00733AAA" w:rsidRDefault="00034DB0" w:rsidP="00BD3C10">
            <w:pPr>
              <w:pStyle w:val="ListParagraph"/>
              <w:numPr>
                <w:ilvl w:val="0"/>
                <w:numId w:val="7"/>
              </w:numPr>
              <w:ind w:left="522" w:hanging="450"/>
            </w:pPr>
            <w:r>
              <w:t>Carbon markets</w:t>
            </w:r>
            <w:r w:rsidR="00674125" w:rsidRPr="00733AAA">
              <w:t xml:space="preserve"> </w:t>
            </w:r>
          </w:p>
        </w:tc>
        <w:tc>
          <w:tcPr>
            <w:tcW w:w="5492" w:type="dxa"/>
            <w:shd w:val="clear" w:color="auto" w:fill="DEEAF6" w:themeFill="accent1" w:themeFillTint="33"/>
            <w:vAlign w:val="center"/>
          </w:tcPr>
          <w:p w14:paraId="736BDF80" w14:textId="77777777" w:rsidR="00674125" w:rsidRPr="00733AAA" w:rsidRDefault="00E85C7A" w:rsidP="00FD1246">
            <w:pPr>
              <w:jc w:val="both"/>
            </w:pPr>
            <w:r>
              <w:t>A</w:t>
            </w:r>
            <w:r w:rsidR="00925B31">
              <w:t>s carbon markets can be used for a</w:t>
            </w:r>
            <w:r>
              <w:t>voiding future spending</w:t>
            </w:r>
            <w:r w:rsidR="00925B31">
              <w:t xml:space="preserve"> with private contributions to reduce or neutralize carbon emissions</w:t>
            </w:r>
            <w:r w:rsidR="00FD1246">
              <w:t xml:space="preserve"> in production and consumption activities</w:t>
            </w:r>
          </w:p>
        </w:tc>
      </w:tr>
      <w:tr w:rsidR="00674125" w:rsidRPr="00733AAA" w14:paraId="157C4141" w14:textId="77777777" w:rsidTr="00A541CA">
        <w:trPr>
          <w:trHeight w:val="980"/>
        </w:trPr>
        <w:tc>
          <w:tcPr>
            <w:tcW w:w="3535" w:type="dxa"/>
            <w:shd w:val="clear" w:color="auto" w:fill="DEEAF6" w:themeFill="accent1" w:themeFillTint="33"/>
            <w:vAlign w:val="center"/>
          </w:tcPr>
          <w:p w14:paraId="612F9611" w14:textId="77777777" w:rsidR="00674125" w:rsidRPr="00733AAA" w:rsidRDefault="00034DB0" w:rsidP="00034DB0">
            <w:pPr>
              <w:pStyle w:val="ListParagraph"/>
              <w:numPr>
                <w:ilvl w:val="0"/>
                <w:numId w:val="7"/>
              </w:numPr>
              <w:ind w:left="522" w:hanging="450"/>
            </w:pPr>
            <w:r w:rsidRPr="00034DB0">
              <w:t>Lobbying for public budget allocations</w:t>
            </w:r>
          </w:p>
        </w:tc>
        <w:tc>
          <w:tcPr>
            <w:tcW w:w="5492" w:type="dxa"/>
            <w:shd w:val="clear" w:color="auto" w:fill="DEEAF6" w:themeFill="accent1" w:themeFillTint="33"/>
            <w:vAlign w:val="center"/>
          </w:tcPr>
          <w:p w14:paraId="799CF552" w14:textId="77777777" w:rsidR="00674125" w:rsidRPr="00733AAA" w:rsidRDefault="00925B31" w:rsidP="00FD1246">
            <w:pPr>
              <w:jc w:val="both"/>
            </w:pPr>
            <w:r>
              <w:t>A mechanism for improving public sector contribution to investment in biodiversity through r</w:t>
            </w:r>
            <w:r w:rsidR="00E85C7A">
              <w:t>e-alignment</w:t>
            </w:r>
            <w:r>
              <w:t xml:space="preserve"> of public expenditure</w:t>
            </w:r>
          </w:p>
        </w:tc>
      </w:tr>
      <w:tr w:rsidR="00674125" w:rsidRPr="00733AAA" w14:paraId="5510D217" w14:textId="77777777" w:rsidTr="00A541CA">
        <w:trPr>
          <w:trHeight w:val="998"/>
        </w:trPr>
        <w:tc>
          <w:tcPr>
            <w:tcW w:w="3535" w:type="dxa"/>
            <w:shd w:val="clear" w:color="auto" w:fill="DEEAF6" w:themeFill="accent1" w:themeFillTint="33"/>
            <w:vAlign w:val="center"/>
          </w:tcPr>
          <w:p w14:paraId="5AE014D5" w14:textId="77777777" w:rsidR="00674125" w:rsidRPr="00733AAA" w:rsidRDefault="00766D93" w:rsidP="00034DB0">
            <w:pPr>
              <w:pStyle w:val="ListParagraph"/>
              <w:numPr>
                <w:ilvl w:val="0"/>
                <w:numId w:val="7"/>
              </w:numPr>
              <w:ind w:left="522" w:hanging="450"/>
            </w:pPr>
            <w:r w:rsidRPr="00034DB0">
              <w:t>Diaspora savings and Investment</w:t>
            </w:r>
          </w:p>
        </w:tc>
        <w:tc>
          <w:tcPr>
            <w:tcW w:w="5492" w:type="dxa"/>
            <w:shd w:val="clear" w:color="auto" w:fill="DEEAF6" w:themeFill="accent1" w:themeFillTint="33"/>
            <w:vAlign w:val="center"/>
          </w:tcPr>
          <w:p w14:paraId="618C0E63" w14:textId="77777777" w:rsidR="00674125" w:rsidRPr="00733AAA" w:rsidRDefault="00766D93" w:rsidP="00FD1246">
            <w:pPr>
              <w:jc w:val="both"/>
            </w:pPr>
            <w:r w:rsidRPr="00766D93">
              <w:t>A new source of finance mobilization that has the potential to attract private diaspora funding for investment in biodiversity</w:t>
            </w:r>
          </w:p>
        </w:tc>
      </w:tr>
      <w:tr w:rsidR="00674125" w:rsidRPr="00733AAA" w14:paraId="67B769E0" w14:textId="77777777" w:rsidTr="00A541CA">
        <w:trPr>
          <w:trHeight w:val="1070"/>
        </w:trPr>
        <w:tc>
          <w:tcPr>
            <w:tcW w:w="3535" w:type="dxa"/>
            <w:tcBorders>
              <w:bottom w:val="single" w:sz="4" w:space="0" w:color="auto"/>
            </w:tcBorders>
            <w:shd w:val="clear" w:color="auto" w:fill="DEEAF6" w:themeFill="accent1" w:themeFillTint="33"/>
            <w:vAlign w:val="center"/>
          </w:tcPr>
          <w:p w14:paraId="0158AC4D" w14:textId="77777777" w:rsidR="00674125" w:rsidRPr="00733AAA" w:rsidRDefault="00034DB0" w:rsidP="00034DB0">
            <w:pPr>
              <w:pStyle w:val="ListParagraph"/>
              <w:numPr>
                <w:ilvl w:val="0"/>
                <w:numId w:val="7"/>
              </w:numPr>
              <w:ind w:left="522" w:hanging="450"/>
            </w:pPr>
            <w:r w:rsidRPr="00034DB0">
              <w:t>Revenue from environmental penalties</w:t>
            </w:r>
          </w:p>
        </w:tc>
        <w:tc>
          <w:tcPr>
            <w:tcW w:w="5492" w:type="dxa"/>
            <w:tcBorders>
              <w:bottom w:val="single" w:sz="4" w:space="0" w:color="auto"/>
            </w:tcBorders>
            <w:shd w:val="clear" w:color="auto" w:fill="DEEAF6" w:themeFill="accent1" w:themeFillTint="33"/>
            <w:vAlign w:val="center"/>
          </w:tcPr>
          <w:p w14:paraId="41D6C7AF" w14:textId="77777777" w:rsidR="00674125" w:rsidRPr="00733AAA" w:rsidRDefault="007714E6" w:rsidP="00FD1246">
            <w:pPr>
              <w:jc w:val="both"/>
            </w:pPr>
            <w:r>
              <w:t>A public sector regulatory mechanism to streamline revenue generation from environmental penalties / fines and revenue utilization in the areas of biodiversity as a r</w:t>
            </w:r>
            <w:r w:rsidR="004A7C35">
              <w:t>e-alignment</w:t>
            </w:r>
            <w:r w:rsidR="00010D8A">
              <w:t xml:space="preserve"> of </w:t>
            </w:r>
            <w:r>
              <w:t>finances</w:t>
            </w:r>
            <w:r w:rsidR="00010D8A">
              <w:t xml:space="preserve"> </w:t>
            </w:r>
          </w:p>
        </w:tc>
      </w:tr>
    </w:tbl>
    <w:p w14:paraId="0265B1DC" w14:textId="77777777" w:rsidR="00D60609" w:rsidRDefault="00D60609" w:rsidP="00437B03">
      <w:pPr>
        <w:jc w:val="both"/>
      </w:pPr>
    </w:p>
    <w:p w14:paraId="12650597" w14:textId="77777777" w:rsidR="004D26C1" w:rsidRPr="004D26C1" w:rsidRDefault="004D26C1" w:rsidP="008B7E9D">
      <w:pPr>
        <w:pStyle w:val="Heading3"/>
      </w:pPr>
      <w:bookmarkStart w:id="18" w:name="_Toc526876309"/>
      <w:r w:rsidRPr="004D26C1">
        <w:t>The solutions mix</w:t>
      </w:r>
      <w:bookmarkEnd w:id="18"/>
    </w:p>
    <w:p w14:paraId="48941BF8" w14:textId="021C014E" w:rsidR="004D26C1" w:rsidRDefault="00D3438D" w:rsidP="00437B03">
      <w:pPr>
        <w:jc w:val="both"/>
      </w:pPr>
      <w:r>
        <w:t xml:space="preserve">The mix </w:t>
      </w:r>
      <w:r w:rsidR="00485113">
        <w:t xml:space="preserve">of different categories of finance solutions </w:t>
      </w:r>
      <w:r>
        <w:t xml:space="preserve">reinforces </w:t>
      </w:r>
      <w:r w:rsidR="004D26C1">
        <w:t xml:space="preserve">each other in terms of their financial mobilization efficiency as well as their biodiversity impact effectiveness. </w:t>
      </w:r>
    </w:p>
    <w:p w14:paraId="7501C6B7" w14:textId="77777777" w:rsidR="00393BFA" w:rsidRDefault="00393BFA" w:rsidP="00437B03">
      <w:pPr>
        <w:jc w:val="both"/>
      </w:pPr>
      <w:r>
        <w:t xml:space="preserve">They cover all four types of mobilization strategies - new financing sources, re-alignment of financing, avoiding future spending and, delivering better. </w:t>
      </w:r>
      <w:r w:rsidR="006E2FA9">
        <w:t xml:space="preserve">The solutions refer to both government and private funding, while they intend to offset the existing biodiversity spending bias towards government’s budgetary allocations. </w:t>
      </w:r>
      <w:r w:rsidR="006566D2">
        <w:t>Besides, given the narrow fiscal space of the government, any significant contribution anticipated through public sector funding is unlikely to be realistic.</w:t>
      </w:r>
    </w:p>
    <w:p w14:paraId="60316193" w14:textId="27E0A14E" w:rsidR="00AE665B" w:rsidRDefault="006E2FA9" w:rsidP="00437B03">
      <w:pPr>
        <w:jc w:val="both"/>
      </w:pPr>
      <w:r>
        <w:t>Most</w:t>
      </w:r>
      <w:r w:rsidR="004D26C1">
        <w:t xml:space="preserve"> of the </w:t>
      </w:r>
      <w:r w:rsidR="00393BFA">
        <w:t xml:space="preserve">prioritized </w:t>
      </w:r>
      <w:r w:rsidR="004D26C1">
        <w:t xml:space="preserve">solutions are </w:t>
      </w:r>
      <w:r w:rsidR="00AE665B">
        <w:t xml:space="preserve">already </w:t>
      </w:r>
      <w:r w:rsidR="004D26C1">
        <w:t>in operation</w:t>
      </w:r>
      <w:r w:rsidR="00393BFA">
        <w:t>,</w:t>
      </w:r>
      <w:r w:rsidR="004D26C1">
        <w:t xml:space="preserve"> though at a small-scale</w:t>
      </w:r>
      <w:r w:rsidR="00393BFA">
        <w:t>,</w:t>
      </w:r>
      <w:r w:rsidR="004D26C1">
        <w:t xml:space="preserve"> </w:t>
      </w:r>
      <w:r w:rsidR="00393BFA">
        <w:t xml:space="preserve">so that </w:t>
      </w:r>
      <w:r w:rsidR="00FB1A30">
        <w:t>scaling</w:t>
      </w:r>
      <w:r w:rsidR="00393BFA">
        <w:t xml:space="preserve"> up </w:t>
      </w:r>
      <w:r w:rsidR="004A791B">
        <w:t xml:space="preserve">the operations with </w:t>
      </w:r>
      <w:r w:rsidR="00393BFA">
        <w:t>coherent resource mobilization mechanisms is not entirely a new initiative. S</w:t>
      </w:r>
      <w:r w:rsidR="00AE665B">
        <w:t xml:space="preserve">ome are </w:t>
      </w:r>
      <w:r w:rsidR="00393BFA">
        <w:t xml:space="preserve">consistent with the issues identified and policies proposed in national and sectoral planning documents of Sri Lanka. This is important for </w:t>
      </w:r>
      <w:r>
        <w:t>more efficient and effective implementation of the solutions</w:t>
      </w:r>
      <w:r w:rsidR="005C408C">
        <w:t xml:space="preserve"> as they are responsive to the development requirements of the country</w:t>
      </w:r>
      <w:r>
        <w:t>.</w:t>
      </w:r>
    </w:p>
    <w:p w14:paraId="6179316C" w14:textId="77777777" w:rsidR="00786D29" w:rsidRDefault="00786D29">
      <w:r>
        <w:br w:type="page"/>
      </w:r>
    </w:p>
    <w:p w14:paraId="0169E118" w14:textId="77777777" w:rsidR="00D60609" w:rsidRDefault="00D60609" w:rsidP="00437B03">
      <w:pPr>
        <w:jc w:val="both"/>
      </w:pPr>
    </w:p>
    <w:p w14:paraId="55ECF590" w14:textId="77777777" w:rsidR="00BB5D98" w:rsidRDefault="00BB5D98" w:rsidP="008B7E9D">
      <w:pPr>
        <w:pStyle w:val="Heading2"/>
      </w:pPr>
      <w:bookmarkStart w:id="19" w:name="_Toc526876310"/>
      <w:r>
        <w:t xml:space="preserve">3. </w:t>
      </w:r>
      <w:r w:rsidRPr="00BB5D98">
        <w:t>Finance Solutions</w:t>
      </w:r>
      <w:bookmarkEnd w:id="19"/>
    </w:p>
    <w:p w14:paraId="7E9576B8" w14:textId="77777777" w:rsidR="00BB5D98" w:rsidRDefault="00BB5D98" w:rsidP="00437B03">
      <w:pPr>
        <w:jc w:val="both"/>
      </w:pPr>
    </w:p>
    <w:p w14:paraId="46F85B3E" w14:textId="77777777" w:rsidR="00A1499D" w:rsidRPr="00096769" w:rsidRDefault="00BB5D98" w:rsidP="00096769">
      <w:pPr>
        <w:pStyle w:val="Heading4"/>
      </w:pPr>
      <w:r w:rsidRPr="00096769">
        <w:t>1. Sustainable Standards and Certification</w:t>
      </w:r>
      <w:r w:rsidR="00922F2A" w:rsidRPr="00096769">
        <w:t xml:space="preserve"> (SST)</w:t>
      </w:r>
      <w:r w:rsidR="00A1499D" w:rsidRPr="00096769">
        <w:t>: Sustainable Tourism Certification scheme</w:t>
      </w:r>
    </w:p>
    <w:p w14:paraId="40D130AA" w14:textId="77777777" w:rsidR="00CD4D96" w:rsidRDefault="00A1499D" w:rsidP="00BB5D98">
      <w:pPr>
        <w:jc w:val="both"/>
      </w:pPr>
      <w:r>
        <w:t>The finance solution is to introduce</w:t>
      </w:r>
      <w:r w:rsidR="00922F2A" w:rsidRPr="00922F2A">
        <w:t xml:space="preserve"> a voluntary Sus</w:t>
      </w:r>
      <w:r w:rsidR="00922F2A">
        <w:t>tainable Tourism Certification s</w:t>
      </w:r>
      <w:r w:rsidR="00922F2A" w:rsidRPr="00922F2A">
        <w:t>cheme to recognize sustainable norms and standards adopted by the tourism industry</w:t>
      </w:r>
      <w:r>
        <w:t>.</w:t>
      </w:r>
      <w:r w:rsidR="00683179">
        <w:t xml:space="preserve"> </w:t>
      </w:r>
    </w:p>
    <w:p w14:paraId="3444CD1D" w14:textId="77777777" w:rsidR="0084010B" w:rsidRDefault="0084010B" w:rsidP="00BB5D98">
      <w:pPr>
        <w:jc w:val="both"/>
      </w:pPr>
      <w:r>
        <w:t>Objective</w:t>
      </w:r>
    </w:p>
    <w:p w14:paraId="4E7DA5D4" w14:textId="77777777" w:rsidR="0084010B" w:rsidRDefault="0084010B" w:rsidP="00BB5D98">
      <w:pPr>
        <w:jc w:val="both"/>
      </w:pPr>
      <w:r w:rsidRPr="0084010B">
        <w:t xml:space="preserve">To encourage service providers operating within the tourism sector to </w:t>
      </w:r>
      <w:r>
        <w:t xml:space="preserve">adopt </w:t>
      </w:r>
      <w:r w:rsidR="009F3A31">
        <w:t>sustainable tourism norms and standards which would have a positive impact on biodiversity.</w:t>
      </w:r>
    </w:p>
    <w:p w14:paraId="454F9D1E" w14:textId="77777777" w:rsidR="00CD4D96" w:rsidRDefault="00CD4D96" w:rsidP="00BB5D98">
      <w:pPr>
        <w:jc w:val="both"/>
      </w:pPr>
      <w:r>
        <w:t>Description</w:t>
      </w:r>
    </w:p>
    <w:p w14:paraId="606E3984" w14:textId="77777777" w:rsidR="00707920" w:rsidRDefault="00DC3B58" w:rsidP="00BB5D98">
      <w:pPr>
        <w:jc w:val="both"/>
      </w:pPr>
      <w:r>
        <w:t xml:space="preserve">Sri Lanka’s tourism industry has been growing fast due to sudden increase in tourist arrivals; during past eight years (2010-2017) tourist arrivals increased five-fold. </w:t>
      </w:r>
      <w:r w:rsidR="0055596E">
        <w:t xml:space="preserve">The industry is due to expand further in the future as well. </w:t>
      </w:r>
      <w:r>
        <w:t xml:space="preserve">In response, the tourism service </w:t>
      </w:r>
      <w:r w:rsidR="0055596E">
        <w:t>has</w:t>
      </w:r>
      <w:r>
        <w:t xml:space="preserve"> expanded rapidly</w:t>
      </w:r>
      <w:r w:rsidR="0055596E">
        <w:t xml:space="preserve"> creating</w:t>
      </w:r>
      <w:r>
        <w:t xml:space="preserve"> pressure on the country’s biodiversity and ecosystems.</w:t>
      </w:r>
      <w:r w:rsidR="005B0983">
        <w:t xml:space="preserve"> </w:t>
      </w:r>
    </w:p>
    <w:p w14:paraId="5B8D531D" w14:textId="6D122FBC" w:rsidR="00A675E9" w:rsidRDefault="00707920" w:rsidP="00BB5D98">
      <w:pPr>
        <w:jc w:val="both"/>
      </w:pPr>
      <w:r>
        <w:t xml:space="preserve">The number of tourist arrivals, which remained less than 500 </w:t>
      </w:r>
      <w:proofErr w:type="gramStart"/>
      <w:r>
        <w:t>thousands</w:t>
      </w:r>
      <w:proofErr w:type="gramEnd"/>
      <w:r>
        <w:t xml:space="preserve"> </w:t>
      </w:r>
      <w:r w:rsidRPr="00707920">
        <w:t>for most of the years prior to 2010</w:t>
      </w:r>
      <w:r>
        <w:t>, exceeded 2 million in 2016. Accordingly, the number o</w:t>
      </w:r>
      <w:r w:rsidR="005460B0">
        <w:t>f accommodation units and other tourism service providers has increased throughout the island. By 2017, there are 401 graded hotels and 26 b</w:t>
      </w:r>
      <w:r w:rsidR="005460B0" w:rsidRPr="005460B0">
        <w:t>outique</w:t>
      </w:r>
      <w:r w:rsidR="005460B0">
        <w:t xml:space="preserve"> hotels, while there are 1929 unclassified and supplementary accommodation units (SLTDA 2017: 82). </w:t>
      </w:r>
    </w:p>
    <w:p w14:paraId="6D8FADE5" w14:textId="77777777" w:rsidR="00FF6715" w:rsidRDefault="00FF6715" w:rsidP="00BB5D98">
      <w:pPr>
        <w:jc w:val="both"/>
      </w:pPr>
    </w:p>
    <w:p w14:paraId="4E1A7F67" w14:textId="5E12E211" w:rsidR="00707920" w:rsidRDefault="00707920" w:rsidP="00BB5D98">
      <w:pPr>
        <w:jc w:val="both"/>
      </w:pPr>
      <w:r>
        <w:rPr>
          <w:noProof/>
          <w:lang w:val="en-AU" w:eastAsia="en-AU" w:bidi="si-LK"/>
        </w:rPr>
        <w:drawing>
          <wp:inline distT="0" distB="0" distL="0" distR="0" wp14:anchorId="15777DD8" wp14:editId="3ABCC95B">
            <wp:extent cx="40386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936E98" w14:textId="77777777" w:rsidR="00A675E9" w:rsidRDefault="00A675E9" w:rsidP="00BB5D98">
      <w:pPr>
        <w:jc w:val="both"/>
      </w:pPr>
    </w:p>
    <w:p w14:paraId="7F8799BF" w14:textId="561D0698" w:rsidR="00F12E0F" w:rsidRDefault="00F12E0F" w:rsidP="00BB5D98">
      <w:pPr>
        <w:jc w:val="both"/>
      </w:pPr>
      <w:r>
        <w:t xml:space="preserve">Rapid increase in tourist arrivals and, the responsive increase in </w:t>
      </w:r>
      <w:r w:rsidR="00321255">
        <w:t>tourist</w:t>
      </w:r>
      <w:r>
        <w:t xml:space="preserve"> service supply have created ever increasing pressure on biodiversity: </w:t>
      </w:r>
      <w:r w:rsidR="00321255">
        <w:t>over-usage of resources for production and consumption, environmental pollution and degradation, unsustainable solid waste management, and negative impact of tourism development activities on biodiversity and ecosystems are some of the prominent areas of increased pressure on biodiversity.</w:t>
      </w:r>
    </w:p>
    <w:p w14:paraId="27A47335" w14:textId="45DF94B7" w:rsidR="002653DA" w:rsidRPr="003A37E6" w:rsidRDefault="002653DA" w:rsidP="002653DA">
      <w:pPr>
        <w:spacing w:line="240" w:lineRule="auto"/>
        <w:ind w:left="720"/>
        <w:jc w:val="both"/>
        <w:rPr>
          <w:sz w:val="20"/>
          <w:szCs w:val="20"/>
        </w:rPr>
      </w:pPr>
      <w:r w:rsidRPr="003A37E6">
        <w:rPr>
          <w:sz w:val="20"/>
          <w:szCs w:val="20"/>
        </w:rPr>
        <w:t xml:space="preserve">“As visitor numbers increase, there is mounting pressure to manage environmental impacts in areas of high tourist use, for land use in high tourism potential areas, to access appropriately skilled human resources, and to maintain tourist service and product quality standards. </w:t>
      </w:r>
    </w:p>
    <w:p w14:paraId="19710DD1" w14:textId="7E963398" w:rsidR="002653DA" w:rsidRPr="00905665" w:rsidRDefault="002653DA" w:rsidP="002653DA">
      <w:pPr>
        <w:spacing w:line="240" w:lineRule="auto"/>
        <w:ind w:left="720"/>
        <w:jc w:val="both"/>
        <w:rPr>
          <w:sz w:val="20"/>
          <w:szCs w:val="20"/>
          <w:lang w:val="en-AU"/>
        </w:rPr>
      </w:pPr>
      <w:r w:rsidRPr="003A37E6">
        <w:rPr>
          <w:sz w:val="20"/>
          <w:szCs w:val="20"/>
        </w:rPr>
        <w:t>It can already be seen in certain areas that the rush to develop and expand tourism in Sri Lanka is harming the natural environment and excluding local communities and local content — the very foundation and uniqueness of the Sri Lankan travel experience.”</w:t>
      </w:r>
    </w:p>
    <w:p w14:paraId="63465370" w14:textId="666DD96D" w:rsidR="002653DA" w:rsidRPr="003A37E6" w:rsidRDefault="002653DA" w:rsidP="002653DA">
      <w:pPr>
        <w:spacing w:line="240" w:lineRule="auto"/>
        <w:ind w:left="720"/>
        <w:jc w:val="right"/>
        <w:rPr>
          <w:sz w:val="20"/>
          <w:szCs w:val="20"/>
        </w:rPr>
      </w:pPr>
      <w:r w:rsidRPr="003A37E6">
        <w:rPr>
          <w:sz w:val="20"/>
          <w:szCs w:val="20"/>
        </w:rPr>
        <w:t xml:space="preserve">SLTDA (2017): </w:t>
      </w:r>
      <w:r w:rsidRPr="003A37E6">
        <w:rPr>
          <w:i/>
          <w:iCs/>
          <w:sz w:val="20"/>
          <w:szCs w:val="20"/>
        </w:rPr>
        <w:t>Sri Lanka Tourism Strategic Plan 2017-2020</w:t>
      </w:r>
      <w:r w:rsidRPr="003A37E6">
        <w:rPr>
          <w:sz w:val="20"/>
          <w:szCs w:val="20"/>
        </w:rPr>
        <w:t>, p.4</w:t>
      </w:r>
    </w:p>
    <w:p w14:paraId="1A4B5F58" w14:textId="3452D424" w:rsidR="00DC3B58" w:rsidRDefault="001261C4" w:rsidP="00BB5D98">
      <w:pPr>
        <w:jc w:val="both"/>
      </w:pPr>
      <w:r>
        <w:t xml:space="preserve">Sri Lanka does not have a sustainable norms and standards adopted by the tourism </w:t>
      </w:r>
      <w:r w:rsidR="00647FEB">
        <w:t>industry</w:t>
      </w:r>
      <w:r>
        <w:t xml:space="preserve">, other than the environmental regulatory mechanisms. Some of the hotels - mostly the large ones, comply with international certifications which appear to be expensive for most of the service providers. The proposed finance solution is expected to establish a national certification scheme which will enable the </w:t>
      </w:r>
      <w:r w:rsidR="00136B76">
        <w:t xml:space="preserve">industry </w:t>
      </w:r>
      <w:r w:rsidR="003F70DA">
        <w:t>participation and compliance to standards.</w:t>
      </w:r>
      <w:r>
        <w:t xml:space="preserve"> </w:t>
      </w:r>
    </w:p>
    <w:p w14:paraId="58956578" w14:textId="30A5B328" w:rsidR="000C05B5" w:rsidRDefault="00683179" w:rsidP="00BB5D98">
      <w:pPr>
        <w:jc w:val="both"/>
      </w:pPr>
      <w:r>
        <w:t xml:space="preserve">The sustainable norms and standards are those </w:t>
      </w:r>
      <w:r w:rsidR="001437FE">
        <w:t xml:space="preserve">that </w:t>
      </w:r>
      <w:r w:rsidR="00DC3B58">
        <w:t>can be</w:t>
      </w:r>
      <w:r w:rsidR="001437FE">
        <w:t xml:space="preserve"> applied </w:t>
      </w:r>
      <w:r>
        <w:t>for conservation and sustainable use of biodiversity by t</w:t>
      </w:r>
      <w:r w:rsidR="001437FE">
        <w:t xml:space="preserve">he service providers in </w:t>
      </w:r>
      <w:r w:rsidR="007B785A">
        <w:t>the</w:t>
      </w:r>
      <w:r>
        <w:t xml:space="preserve"> tourism industry</w:t>
      </w:r>
      <w:r w:rsidR="001437FE">
        <w:t>. The assessment is by an authorized third party which will have the powers and responsibilities to issue the Sustainable Tourism Certification to the service providers which comply with different levels of sustainable criteria</w:t>
      </w:r>
      <w:r w:rsidR="004E6F80">
        <w:t xml:space="preserve">, including </w:t>
      </w:r>
      <w:proofErr w:type="gramStart"/>
      <w:r w:rsidR="004E6F80">
        <w:t>in particular those</w:t>
      </w:r>
      <w:proofErr w:type="gramEnd"/>
      <w:r w:rsidR="004E6F80">
        <w:t xml:space="preserve"> relevant to conserving biodiversity</w:t>
      </w:r>
      <w:r w:rsidR="001437FE">
        <w:t>.</w:t>
      </w:r>
      <w:r w:rsidR="000C05B5">
        <w:t xml:space="preserve"> </w:t>
      </w:r>
    </w:p>
    <w:p w14:paraId="766296C4" w14:textId="30ADA37E" w:rsidR="00CD4D96" w:rsidRDefault="00CD4D96" w:rsidP="00BB5D98">
      <w:pPr>
        <w:jc w:val="both"/>
      </w:pPr>
      <w:r>
        <w:t xml:space="preserve">The </w:t>
      </w:r>
      <w:r w:rsidR="007B785A">
        <w:t>proposed</w:t>
      </w:r>
      <w:r>
        <w:t xml:space="preserve"> finance solution is </w:t>
      </w:r>
      <w:r w:rsidR="007B785A">
        <w:t xml:space="preserve">expected </w:t>
      </w:r>
      <w:r>
        <w:t>to e</w:t>
      </w:r>
      <w:r w:rsidRPr="00CD4D96">
        <w:t xml:space="preserve">ncourage service providers </w:t>
      </w:r>
      <w:r>
        <w:t xml:space="preserve">operating within the tourism sector </w:t>
      </w:r>
      <w:r w:rsidRPr="00CD4D96">
        <w:t>to invest in conservation and sustainable use of biodiversity as part of their core business activity</w:t>
      </w:r>
      <w:r w:rsidR="00F5694F">
        <w:t xml:space="preserve">. </w:t>
      </w:r>
      <w:r w:rsidR="00FF4E5D">
        <w:t>The certification scheme</w:t>
      </w:r>
      <w:r w:rsidR="0073473B">
        <w:t xml:space="preserve"> will be based on the Global Sustainable Tourism Council (GSTC) criteria as the baseline </w:t>
      </w:r>
      <w:r w:rsidR="002D0EC4">
        <w:t>for developing sustainable standards for the tourism industry.</w:t>
      </w:r>
      <w:r w:rsidR="00FF4E5D">
        <w:t xml:space="preserve"> </w:t>
      </w:r>
      <w:r w:rsidR="002D0EC4">
        <w:t>This</w:t>
      </w:r>
      <w:r w:rsidR="00FF4E5D">
        <w:t xml:space="preserve"> will enable tourism service providers to </w:t>
      </w:r>
      <w:r w:rsidR="00FF4E5D" w:rsidRPr="005D26AA">
        <w:t>integrat</w:t>
      </w:r>
      <w:r w:rsidR="00FF4E5D">
        <w:t>e</w:t>
      </w:r>
      <w:r w:rsidR="00FF4E5D" w:rsidRPr="005D26AA">
        <w:t xml:space="preserve"> the </w:t>
      </w:r>
      <w:r w:rsidR="002D0EC4">
        <w:t xml:space="preserve">internationally accepted </w:t>
      </w:r>
      <w:r w:rsidR="00FF4E5D" w:rsidRPr="005D26AA">
        <w:t>sustainable tourism</w:t>
      </w:r>
      <w:r w:rsidR="002D0EC4">
        <w:t xml:space="preserve"> criteria</w:t>
      </w:r>
      <w:r w:rsidR="00FF4E5D" w:rsidRPr="005D26AA">
        <w:t>,</w:t>
      </w:r>
      <w:r w:rsidR="00FF4E5D">
        <w:t xml:space="preserve"> in addition to biodiversity standards. </w:t>
      </w:r>
      <w:r w:rsidR="00F5694F">
        <w:t>The solution is planned to be implemented under the two stages as follows:</w:t>
      </w:r>
    </w:p>
    <w:p w14:paraId="3F3EC5CE" w14:textId="18FDDC92" w:rsidR="00F5694F" w:rsidRDefault="00F5694F" w:rsidP="00470DAA">
      <w:pPr>
        <w:ind w:left="720"/>
        <w:jc w:val="both"/>
      </w:pPr>
      <w:r>
        <w:t>Phase 1: the development of criteria for</w:t>
      </w:r>
      <w:r w:rsidR="00754A18">
        <w:t>,</w:t>
      </w:r>
      <w:r>
        <w:t xml:space="preserve"> and establishment of the mechanism for Sustainable Tourism Certification scheme for the accommodation sector</w:t>
      </w:r>
      <w:r w:rsidR="002D0EC4">
        <w:t>; the criteria are expected to reflect aspects such as sustainable management, socioeconomic impact, cultural impact and, environmental impact</w:t>
      </w:r>
      <w:r w:rsidR="00047B90">
        <w:t xml:space="preserve"> of the operations in the tourism industry.</w:t>
      </w:r>
    </w:p>
    <w:p w14:paraId="66373930" w14:textId="0586FD3A" w:rsidR="00F5694F" w:rsidRDefault="00F5694F" w:rsidP="00470DAA">
      <w:pPr>
        <w:ind w:left="720"/>
        <w:jc w:val="both"/>
      </w:pPr>
      <w:r>
        <w:t xml:space="preserve">Phase 2: the implementation of the </w:t>
      </w:r>
      <w:r w:rsidRPr="00781DF2">
        <w:t xml:space="preserve">Sustainable Tourism Certification </w:t>
      </w:r>
      <w:r>
        <w:t>scheme for accommodation sector and, expanding it to cover all other sectors in the tourism industry such as travel, tour operation, recreation and restaurants</w:t>
      </w:r>
      <w:r w:rsidR="00047B90">
        <w:t>; this will cover all sectors within tourism industry, bringing the entire industry into sustainable tourism practices,</w:t>
      </w:r>
    </w:p>
    <w:p w14:paraId="6F99DFF8" w14:textId="77777777" w:rsidR="00CD4D96" w:rsidRDefault="00CD4D96" w:rsidP="00BB5D98">
      <w:pPr>
        <w:jc w:val="both"/>
      </w:pPr>
      <w:r>
        <w:t>Business case</w:t>
      </w:r>
    </w:p>
    <w:p w14:paraId="7D321EC2" w14:textId="2D2FA9E5" w:rsidR="00683179" w:rsidRDefault="000C05B5" w:rsidP="00BB5D98">
      <w:pPr>
        <w:jc w:val="both"/>
      </w:pPr>
      <w:r w:rsidRPr="000C05B5">
        <w:t xml:space="preserve">The </w:t>
      </w:r>
      <w:r>
        <w:t>solution</w:t>
      </w:r>
      <w:r w:rsidR="00A1499D">
        <w:t xml:space="preserve"> is expected to bring the </w:t>
      </w:r>
      <w:r w:rsidRPr="000C05B5">
        <w:t>tourism industry into a national sustainable tourism certification scheme</w:t>
      </w:r>
      <w:r>
        <w:t>, while encouraging private investment in biodiversity.</w:t>
      </w:r>
      <w:r w:rsidR="009D26FE">
        <w:t xml:space="preserve"> This scheme will be attractive to the tourism service providers as it would enhance their business competitiveness at firm level and improve the overall tourism sector of the country at industry level.</w:t>
      </w:r>
    </w:p>
    <w:p w14:paraId="5F95DBF8" w14:textId="322449C4" w:rsidR="007C67C0" w:rsidRDefault="007C67C0" w:rsidP="00BB5D98">
      <w:pPr>
        <w:jc w:val="both"/>
      </w:pPr>
      <w:r w:rsidRPr="007C67C0">
        <w:t xml:space="preserve">The proposed finance solution </w:t>
      </w:r>
      <w:r>
        <w:t>is expected to</w:t>
      </w:r>
      <w:r w:rsidRPr="007C67C0">
        <w:t xml:space="preserve"> contribute </w:t>
      </w:r>
      <w:r>
        <w:t xml:space="preserve">to NBSAP targets 2 and 4 by reducing </w:t>
      </w:r>
      <w:r w:rsidRPr="007C67C0">
        <w:t xml:space="preserve">pressure </w:t>
      </w:r>
      <w:r>
        <w:t xml:space="preserve">on biodiversity </w:t>
      </w:r>
      <w:r w:rsidRPr="007C67C0">
        <w:t xml:space="preserve">from the thriving tourism industry </w:t>
      </w:r>
      <w:r>
        <w:t>and, to target 6 by</w:t>
      </w:r>
      <w:r w:rsidRPr="007C67C0">
        <w:t xml:space="preserve"> enhanc</w:t>
      </w:r>
      <w:r>
        <w:t>ing</w:t>
      </w:r>
      <w:r w:rsidRPr="007C67C0">
        <w:t xml:space="preserve"> sustainabl</w:t>
      </w:r>
      <w:r>
        <w:t>e use of biodiversity resources</w:t>
      </w:r>
      <w:r w:rsidRPr="007C67C0">
        <w:t>.</w:t>
      </w:r>
    </w:p>
    <w:p w14:paraId="06D2E773" w14:textId="77777777" w:rsidR="00CD4D96" w:rsidRDefault="00CD4D96" w:rsidP="00BB5D98">
      <w:pPr>
        <w:jc w:val="both"/>
      </w:pPr>
      <w:r>
        <w:t>Responsibility</w:t>
      </w:r>
    </w:p>
    <w:p w14:paraId="6405DAB3" w14:textId="5452C037" w:rsidR="00891AF9" w:rsidRDefault="00891AF9" w:rsidP="00BB5D98">
      <w:pPr>
        <w:jc w:val="both"/>
      </w:pPr>
      <w:r>
        <w:t xml:space="preserve">Sri Lanka Tourism Development Authority (SLTDA) emphasizes in its </w:t>
      </w:r>
      <w:r w:rsidRPr="00891AF9">
        <w:rPr>
          <w:i/>
        </w:rPr>
        <w:t>Tourism Strategic Plan 2017-2020</w:t>
      </w:r>
      <w:r>
        <w:t xml:space="preserve"> (p.89) the need for a national </w:t>
      </w:r>
      <w:r w:rsidRPr="00891AF9">
        <w:t>Sustainable Tourism Certification scheme</w:t>
      </w:r>
      <w:r w:rsidR="009D26FE">
        <w:t xml:space="preserve"> in the tourism industry. Thus, under the proposed finance solution the BIOFIN initiative will support the SLTDA to develop and establish the scheme under two phases</w:t>
      </w:r>
      <w:r w:rsidR="00D83D41">
        <w:t>.</w:t>
      </w:r>
    </w:p>
    <w:p w14:paraId="05A4D966" w14:textId="230CBA76" w:rsidR="00D83D41" w:rsidRDefault="00D83D41" w:rsidP="00BB5D98">
      <w:pPr>
        <w:jc w:val="both"/>
      </w:pPr>
      <w:r>
        <w:t>Financial result</w:t>
      </w:r>
    </w:p>
    <w:p w14:paraId="7AF4C555" w14:textId="34CC6CBC" w:rsidR="00EB18C9" w:rsidRDefault="00EB18C9" w:rsidP="00EB18C9">
      <w:pPr>
        <w:jc w:val="both"/>
      </w:pPr>
      <w:r>
        <w:t>This is a voluntary private investment avoiding future spending on biodiversity. There are 2094 registered accommodation units in the tourism industry in the country in 2017; this includes 401 large/graded hotels and 1693 small/ungraded hotels providing accommodation in the tourism industry. There are 337 new projects with US$ 8.9 million average investment per unit</w:t>
      </w:r>
      <w:r w:rsidR="000264C8">
        <w:t xml:space="preserve"> (SLTDA, Tourism Industry Report 3</w:t>
      </w:r>
      <w:r w:rsidR="000264C8" w:rsidRPr="000264C8">
        <w:rPr>
          <w:vertAlign w:val="superscript"/>
        </w:rPr>
        <w:t>rd</w:t>
      </w:r>
      <w:r w:rsidR="000264C8">
        <w:t xml:space="preserve"> Quarter 2018)</w:t>
      </w:r>
      <w:r>
        <w:t xml:space="preserve">. </w:t>
      </w:r>
    </w:p>
    <w:p w14:paraId="1B433582" w14:textId="54902C6C" w:rsidR="00EB18C9" w:rsidRDefault="00EB18C9" w:rsidP="00EB18C9">
      <w:pPr>
        <w:jc w:val="both"/>
      </w:pPr>
      <w:r>
        <w:t>A</w:t>
      </w:r>
      <w:r w:rsidR="000264C8">
        <w:t>s</w:t>
      </w:r>
      <w:r w:rsidR="000264C8" w:rsidRPr="000264C8">
        <w:t xml:space="preserve"> reported by informants from the industry</w:t>
      </w:r>
      <w:r w:rsidR="000264C8">
        <w:t xml:space="preserve">, </w:t>
      </w:r>
      <w:proofErr w:type="gramStart"/>
      <w:r w:rsidR="000264C8">
        <w:t>assuming that</w:t>
      </w:r>
      <w:proofErr w:type="gramEnd"/>
      <w:r w:rsidR="000264C8">
        <w:t xml:space="preserve"> on a</w:t>
      </w:r>
      <w:r>
        <w:t>v</w:t>
      </w:r>
      <w:r w:rsidR="000264C8">
        <w:t xml:space="preserve">erage 0.5 percent of investment is </w:t>
      </w:r>
      <w:r>
        <w:t xml:space="preserve">allocated for improving a given set of sustainability criteria among half of the existing accommodation units will generate US$ 45 million investment in sustainable tourism criteria. </w:t>
      </w:r>
      <w:r w:rsidR="000264C8">
        <w:t>This investment is expected to finance infrastructure, equipment, technology, and human resources in the areas related to sustainability criteria.</w:t>
      </w:r>
    </w:p>
    <w:p w14:paraId="4EC89018" w14:textId="77777777" w:rsidR="00EB18C9" w:rsidRDefault="00EB18C9" w:rsidP="00EB18C9">
      <w:pPr>
        <w:jc w:val="both"/>
      </w:pPr>
      <w:r>
        <w:t>There are 1540 registered other tourism service providers which include restaurants, travel agents, tour operators, recreational services, tourist shops and, tourist organizations. On average 0.5 percent of investment allocation among half of the established units will generate additional US$ 33 million investment in sustainable tourism criteria.</w:t>
      </w:r>
    </w:p>
    <w:p w14:paraId="410F9FC2" w14:textId="05C2375E" w:rsidR="00EB18C9" w:rsidRDefault="00EB18C9" w:rsidP="00EB18C9">
      <w:pPr>
        <w:jc w:val="both"/>
      </w:pPr>
      <w:r>
        <w:t xml:space="preserve">Thus, total expected investment for the plan period would be US$ 78 million </w:t>
      </w:r>
      <w:r w:rsidR="00FD7F12">
        <w:t xml:space="preserve">finances mobilized </w:t>
      </w:r>
      <w:r>
        <w:t>by the private sector in applying for national sustainable tourism certificate and in avoiding future expenditure on biodiversity.</w:t>
      </w:r>
    </w:p>
    <w:p w14:paraId="06D2CE5E" w14:textId="55A462DB" w:rsidR="00062A3C" w:rsidRDefault="00062A3C" w:rsidP="00EB18C9">
      <w:pPr>
        <w:jc w:val="both"/>
      </w:pPr>
    </w:p>
    <w:p w14:paraId="61B46240" w14:textId="77777777" w:rsidR="00CD4D96" w:rsidRDefault="00CD4D96" w:rsidP="00BB5D98">
      <w:pPr>
        <w:jc w:val="both"/>
      </w:pPr>
      <w:r>
        <w:t>Action plan</w:t>
      </w:r>
    </w:p>
    <w:tbl>
      <w:tblPr>
        <w:tblStyle w:val="TableGrid"/>
        <w:tblW w:w="0" w:type="auto"/>
        <w:tblLook w:val="04A0" w:firstRow="1" w:lastRow="0" w:firstColumn="1" w:lastColumn="0" w:noHBand="0" w:noVBand="1"/>
      </w:tblPr>
      <w:tblGrid>
        <w:gridCol w:w="2082"/>
        <w:gridCol w:w="1980"/>
        <w:gridCol w:w="1497"/>
        <w:gridCol w:w="494"/>
        <w:gridCol w:w="494"/>
        <w:gridCol w:w="494"/>
        <w:gridCol w:w="494"/>
        <w:gridCol w:w="494"/>
        <w:gridCol w:w="494"/>
        <w:gridCol w:w="494"/>
      </w:tblGrid>
      <w:tr w:rsidR="00833728" w14:paraId="28A33147" w14:textId="77777777" w:rsidTr="00EA1BB7">
        <w:tc>
          <w:tcPr>
            <w:tcW w:w="2082" w:type="dxa"/>
            <w:vMerge w:val="restart"/>
            <w:vAlign w:val="center"/>
          </w:tcPr>
          <w:p w14:paraId="602A2816" w14:textId="77777777" w:rsidR="00597E5D" w:rsidRDefault="00597E5D" w:rsidP="00597E5D">
            <w:pPr>
              <w:jc w:val="center"/>
            </w:pPr>
            <w:r>
              <w:t>Output</w:t>
            </w:r>
          </w:p>
        </w:tc>
        <w:tc>
          <w:tcPr>
            <w:tcW w:w="1980" w:type="dxa"/>
            <w:vMerge w:val="restart"/>
            <w:vAlign w:val="center"/>
          </w:tcPr>
          <w:p w14:paraId="4C50B0FA" w14:textId="77777777" w:rsidR="00597E5D" w:rsidRDefault="00597E5D" w:rsidP="00597E5D">
            <w:pPr>
              <w:jc w:val="center"/>
            </w:pPr>
            <w:r>
              <w:t>Main activities</w:t>
            </w:r>
          </w:p>
        </w:tc>
        <w:tc>
          <w:tcPr>
            <w:tcW w:w="1497" w:type="dxa"/>
            <w:vMerge w:val="restart"/>
            <w:vAlign w:val="center"/>
          </w:tcPr>
          <w:p w14:paraId="4EA2509E" w14:textId="77777777" w:rsidR="00597E5D" w:rsidRDefault="00597E5D" w:rsidP="00597E5D">
            <w:pPr>
              <w:jc w:val="center"/>
            </w:pPr>
            <w:r>
              <w:t>Responsibility</w:t>
            </w:r>
          </w:p>
        </w:tc>
        <w:tc>
          <w:tcPr>
            <w:tcW w:w="3458" w:type="dxa"/>
            <w:gridSpan w:val="7"/>
            <w:vAlign w:val="center"/>
          </w:tcPr>
          <w:p w14:paraId="43FBA985" w14:textId="77777777" w:rsidR="00597E5D" w:rsidRDefault="00597E5D" w:rsidP="00597E5D">
            <w:pPr>
              <w:jc w:val="center"/>
            </w:pPr>
            <w:r>
              <w:t>Year</w:t>
            </w:r>
          </w:p>
        </w:tc>
      </w:tr>
      <w:tr w:rsidR="00597E5D" w14:paraId="15541A87" w14:textId="77777777" w:rsidTr="00EA1BB7">
        <w:tc>
          <w:tcPr>
            <w:tcW w:w="2082" w:type="dxa"/>
            <w:vMerge/>
            <w:vAlign w:val="center"/>
          </w:tcPr>
          <w:p w14:paraId="17A64218" w14:textId="77777777" w:rsidR="00597E5D" w:rsidRDefault="00597E5D" w:rsidP="00597E5D">
            <w:pPr>
              <w:jc w:val="center"/>
            </w:pPr>
          </w:p>
        </w:tc>
        <w:tc>
          <w:tcPr>
            <w:tcW w:w="1980" w:type="dxa"/>
            <w:vMerge/>
            <w:vAlign w:val="center"/>
          </w:tcPr>
          <w:p w14:paraId="60424944" w14:textId="77777777" w:rsidR="00597E5D" w:rsidRDefault="00597E5D" w:rsidP="00597E5D">
            <w:pPr>
              <w:jc w:val="center"/>
            </w:pPr>
          </w:p>
        </w:tc>
        <w:tc>
          <w:tcPr>
            <w:tcW w:w="1497" w:type="dxa"/>
            <w:vMerge/>
            <w:vAlign w:val="center"/>
          </w:tcPr>
          <w:p w14:paraId="6A019888" w14:textId="77777777" w:rsidR="00597E5D" w:rsidRDefault="00597E5D" w:rsidP="00597E5D">
            <w:pPr>
              <w:jc w:val="center"/>
            </w:pPr>
          </w:p>
        </w:tc>
        <w:tc>
          <w:tcPr>
            <w:tcW w:w="494" w:type="dxa"/>
            <w:vAlign w:val="center"/>
          </w:tcPr>
          <w:p w14:paraId="5A4589A6" w14:textId="77777777" w:rsidR="00597E5D" w:rsidRDefault="00597E5D" w:rsidP="00597E5D">
            <w:pPr>
              <w:jc w:val="center"/>
            </w:pPr>
            <w:r>
              <w:t>‘18</w:t>
            </w:r>
          </w:p>
        </w:tc>
        <w:tc>
          <w:tcPr>
            <w:tcW w:w="494" w:type="dxa"/>
            <w:vAlign w:val="center"/>
          </w:tcPr>
          <w:p w14:paraId="38BE82E4" w14:textId="77777777" w:rsidR="00597E5D" w:rsidRDefault="00597E5D" w:rsidP="00597E5D">
            <w:pPr>
              <w:jc w:val="center"/>
            </w:pPr>
            <w:r>
              <w:t>‘19</w:t>
            </w:r>
          </w:p>
        </w:tc>
        <w:tc>
          <w:tcPr>
            <w:tcW w:w="494" w:type="dxa"/>
            <w:vAlign w:val="center"/>
          </w:tcPr>
          <w:p w14:paraId="7FB039A5" w14:textId="77777777" w:rsidR="00597E5D" w:rsidRDefault="00597E5D" w:rsidP="00597E5D">
            <w:pPr>
              <w:jc w:val="center"/>
            </w:pPr>
            <w:r>
              <w:t>‘20</w:t>
            </w:r>
          </w:p>
        </w:tc>
        <w:tc>
          <w:tcPr>
            <w:tcW w:w="494" w:type="dxa"/>
            <w:vAlign w:val="center"/>
          </w:tcPr>
          <w:p w14:paraId="26A06076" w14:textId="77777777" w:rsidR="00597E5D" w:rsidRDefault="00597E5D" w:rsidP="00597E5D">
            <w:pPr>
              <w:jc w:val="center"/>
            </w:pPr>
            <w:r>
              <w:t>‘21</w:t>
            </w:r>
          </w:p>
        </w:tc>
        <w:tc>
          <w:tcPr>
            <w:tcW w:w="494" w:type="dxa"/>
            <w:vAlign w:val="center"/>
          </w:tcPr>
          <w:p w14:paraId="71A14989" w14:textId="77777777" w:rsidR="00597E5D" w:rsidRDefault="00597E5D" w:rsidP="00597E5D">
            <w:pPr>
              <w:jc w:val="center"/>
            </w:pPr>
            <w:r>
              <w:t>‘22</w:t>
            </w:r>
          </w:p>
        </w:tc>
        <w:tc>
          <w:tcPr>
            <w:tcW w:w="494" w:type="dxa"/>
            <w:vAlign w:val="center"/>
          </w:tcPr>
          <w:p w14:paraId="538EEF39" w14:textId="77777777" w:rsidR="00597E5D" w:rsidRDefault="00597E5D" w:rsidP="00597E5D">
            <w:pPr>
              <w:jc w:val="center"/>
            </w:pPr>
            <w:r>
              <w:t>‘23</w:t>
            </w:r>
          </w:p>
        </w:tc>
        <w:tc>
          <w:tcPr>
            <w:tcW w:w="494" w:type="dxa"/>
            <w:vAlign w:val="center"/>
          </w:tcPr>
          <w:p w14:paraId="2D7C519F" w14:textId="77777777" w:rsidR="00597E5D" w:rsidRDefault="00597E5D" w:rsidP="00597E5D">
            <w:pPr>
              <w:jc w:val="center"/>
            </w:pPr>
            <w:r>
              <w:t>‘24</w:t>
            </w:r>
          </w:p>
        </w:tc>
      </w:tr>
      <w:tr w:rsidR="00AB5CE0" w14:paraId="0F28E84B" w14:textId="77777777" w:rsidTr="00EA1BB7">
        <w:tc>
          <w:tcPr>
            <w:tcW w:w="2082" w:type="dxa"/>
            <w:vAlign w:val="center"/>
          </w:tcPr>
          <w:p w14:paraId="568A77BF" w14:textId="77777777" w:rsidR="00AB5CE0" w:rsidRDefault="00AB5CE0" w:rsidP="00833728">
            <w:r>
              <w:t>PHASE 1</w:t>
            </w:r>
          </w:p>
        </w:tc>
        <w:tc>
          <w:tcPr>
            <w:tcW w:w="1980" w:type="dxa"/>
            <w:vAlign w:val="center"/>
          </w:tcPr>
          <w:p w14:paraId="1920B7E6" w14:textId="77777777" w:rsidR="00AB5CE0" w:rsidRDefault="00AB5CE0" w:rsidP="00833728"/>
        </w:tc>
        <w:tc>
          <w:tcPr>
            <w:tcW w:w="1497" w:type="dxa"/>
            <w:vAlign w:val="center"/>
          </w:tcPr>
          <w:p w14:paraId="173BC068" w14:textId="77777777" w:rsidR="00AB5CE0" w:rsidRDefault="00AB5CE0" w:rsidP="00833728"/>
        </w:tc>
        <w:tc>
          <w:tcPr>
            <w:tcW w:w="494" w:type="dxa"/>
            <w:shd w:val="clear" w:color="auto" w:fill="FFFFFF" w:themeFill="background1"/>
            <w:vAlign w:val="center"/>
          </w:tcPr>
          <w:p w14:paraId="6A51250E" w14:textId="77777777" w:rsidR="00AB5CE0" w:rsidRDefault="00AB5CE0" w:rsidP="00597E5D">
            <w:pPr>
              <w:jc w:val="center"/>
            </w:pPr>
          </w:p>
        </w:tc>
        <w:tc>
          <w:tcPr>
            <w:tcW w:w="494" w:type="dxa"/>
            <w:vAlign w:val="center"/>
          </w:tcPr>
          <w:p w14:paraId="46076AAB" w14:textId="77777777" w:rsidR="00AB5CE0" w:rsidRDefault="00AB5CE0" w:rsidP="00597E5D">
            <w:pPr>
              <w:jc w:val="center"/>
            </w:pPr>
          </w:p>
        </w:tc>
        <w:tc>
          <w:tcPr>
            <w:tcW w:w="494" w:type="dxa"/>
            <w:vAlign w:val="center"/>
          </w:tcPr>
          <w:p w14:paraId="25940122" w14:textId="77777777" w:rsidR="00AB5CE0" w:rsidRDefault="00AB5CE0" w:rsidP="00597E5D">
            <w:pPr>
              <w:jc w:val="center"/>
            </w:pPr>
          </w:p>
        </w:tc>
        <w:tc>
          <w:tcPr>
            <w:tcW w:w="494" w:type="dxa"/>
            <w:vAlign w:val="center"/>
          </w:tcPr>
          <w:p w14:paraId="39FC351E" w14:textId="77777777" w:rsidR="00AB5CE0" w:rsidRDefault="00AB5CE0" w:rsidP="00597E5D">
            <w:pPr>
              <w:jc w:val="center"/>
            </w:pPr>
          </w:p>
        </w:tc>
        <w:tc>
          <w:tcPr>
            <w:tcW w:w="494" w:type="dxa"/>
            <w:vAlign w:val="center"/>
          </w:tcPr>
          <w:p w14:paraId="1B8E897B" w14:textId="77777777" w:rsidR="00AB5CE0" w:rsidRDefault="00AB5CE0" w:rsidP="00597E5D">
            <w:pPr>
              <w:jc w:val="center"/>
            </w:pPr>
          </w:p>
        </w:tc>
        <w:tc>
          <w:tcPr>
            <w:tcW w:w="494" w:type="dxa"/>
            <w:vAlign w:val="center"/>
          </w:tcPr>
          <w:p w14:paraId="463CF565" w14:textId="77777777" w:rsidR="00AB5CE0" w:rsidRDefault="00AB5CE0" w:rsidP="00597E5D">
            <w:pPr>
              <w:jc w:val="center"/>
            </w:pPr>
          </w:p>
        </w:tc>
        <w:tc>
          <w:tcPr>
            <w:tcW w:w="494" w:type="dxa"/>
            <w:vAlign w:val="center"/>
          </w:tcPr>
          <w:p w14:paraId="2B9F08FF" w14:textId="77777777" w:rsidR="00AB5CE0" w:rsidRDefault="00AB5CE0" w:rsidP="00597E5D">
            <w:pPr>
              <w:jc w:val="center"/>
            </w:pPr>
          </w:p>
        </w:tc>
      </w:tr>
      <w:tr w:rsidR="00D3174A" w14:paraId="1C459FFA" w14:textId="77777777" w:rsidTr="005D26AA">
        <w:trPr>
          <w:trHeight w:val="440"/>
        </w:trPr>
        <w:tc>
          <w:tcPr>
            <w:tcW w:w="2082" w:type="dxa"/>
            <w:vMerge w:val="restart"/>
            <w:vAlign w:val="center"/>
          </w:tcPr>
          <w:p w14:paraId="5532D5E0" w14:textId="77777777" w:rsidR="00D3174A" w:rsidRDefault="00D3174A" w:rsidP="00833728">
            <w:r>
              <w:t>Criteria for sustainable tourism certification for accommodation sector</w:t>
            </w:r>
          </w:p>
        </w:tc>
        <w:tc>
          <w:tcPr>
            <w:tcW w:w="1980" w:type="dxa"/>
            <w:vAlign w:val="center"/>
          </w:tcPr>
          <w:p w14:paraId="1A43D522" w14:textId="5D63263F" w:rsidR="00D3174A" w:rsidRDefault="00D3174A" w:rsidP="00833728">
            <w:r w:rsidRPr="00D3174A">
              <w:t xml:space="preserve">Developing </w:t>
            </w:r>
            <w:r w:rsidR="00D35EAA">
              <w:t xml:space="preserve">certification </w:t>
            </w:r>
            <w:r w:rsidRPr="00D3174A">
              <w:t>criteria</w:t>
            </w:r>
          </w:p>
        </w:tc>
        <w:tc>
          <w:tcPr>
            <w:tcW w:w="1497" w:type="dxa"/>
            <w:vAlign w:val="center"/>
          </w:tcPr>
          <w:p w14:paraId="37543C43" w14:textId="77777777" w:rsidR="00D3174A" w:rsidRDefault="00D3174A" w:rsidP="00833728">
            <w:r>
              <w:t>SLTDA</w:t>
            </w:r>
          </w:p>
        </w:tc>
        <w:tc>
          <w:tcPr>
            <w:tcW w:w="494" w:type="dxa"/>
            <w:shd w:val="clear" w:color="auto" w:fill="BFBFBF" w:themeFill="background1" w:themeFillShade="BF"/>
            <w:vAlign w:val="center"/>
          </w:tcPr>
          <w:p w14:paraId="3598B80C" w14:textId="77777777" w:rsidR="00D3174A" w:rsidRDefault="00D3174A" w:rsidP="00597E5D">
            <w:pPr>
              <w:jc w:val="center"/>
            </w:pPr>
          </w:p>
        </w:tc>
        <w:tc>
          <w:tcPr>
            <w:tcW w:w="494" w:type="dxa"/>
            <w:vAlign w:val="center"/>
          </w:tcPr>
          <w:p w14:paraId="3ED978CE" w14:textId="77777777" w:rsidR="00D3174A" w:rsidRDefault="00D3174A" w:rsidP="00597E5D">
            <w:pPr>
              <w:jc w:val="center"/>
            </w:pPr>
          </w:p>
        </w:tc>
        <w:tc>
          <w:tcPr>
            <w:tcW w:w="494" w:type="dxa"/>
            <w:vAlign w:val="center"/>
          </w:tcPr>
          <w:p w14:paraId="37FC4583" w14:textId="77777777" w:rsidR="00D3174A" w:rsidRDefault="00D3174A" w:rsidP="00597E5D">
            <w:pPr>
              <w:jc w:val="center"/>
            </w:pPr>
          </w:p>
        </w:tc>
        <w:tc>
          <w:tcPr>
            <w:tcW w:w="494" w:type="dxa"/>
            <w:vAlign w:val="center"/>
          </w:tcPr>
          <w:p w14:paraId="640381CA" w14:textId="77777777" w:rsidR="00D3174A" w:rsidRDefault="00D3174A" w:rsidP="00597E5D">
            <w:pPr>
              <w:jc w:val="center"/>
            </w:pPr>
          </w:p>
        </w:tc>
        <w:tc>
          <w:tcPr>
            <w:tcW w:w="494" w:type="dxa"/>
            <w:vAlign w:val="center"/>
          </w:tcPr>
          <w:p w14:paraId="7596FBFE" w14:textId="77777777" w:rsidR="00D3174A" w:rsidRDefault="00D3174A" w:rsidP="00597E5D">
            <w:pPr>
              <w:jc w:val="center"/>
            </w:pPr>
          </w:p>
        </w:tc>
        <w:tc>
          <w:tcPr>
            <w:tcW w:w="494" w:type="dxa"/>
            <w:vAlign w:val="center"/>
          </w:tcPr>
          <w:p w14:paraId="3C4E48C4" w14:textId="77777777" w:rsidR="00D3174A" w:rsidRDefault="00D3174A" w:rsidP="00597E5D">
            <w:pPr>
              <w:jc w:val="center"/>
            </w:pPr>
          </w:p>
        </w:tc>
        <w:tc>
          <w:tcPr>
            <w:tcW w:w="494" w:type="dxa"/>
            <w:vAlign w:val="center"/>
          </w:tcPr>
          <w:p w14:paraId="224A6D08" w14:textId="77777777" w:rsidR="00D3174A" w:rsidRDefault="00D3174A" w:rsidP="00597E5D">
            <w:pPr>
              <w:jc w:val="center"/>
            </w:pPr>
          </w:p>
        </w:tc>
      </w:tr>
      <w:tr w:rsidR="00D3174A" w14:paraId="50A64F87" w14:textId="77777777" w:rsidTr="005D26AA">
        <w:trPr>
          <w:trHeight w:val="512"/>
        </w:trPr>
        <w:tc>
          <w:tcPr>
            <w:tcW w:w="2082" w:type="dxa"/>
            <w:vMerge/>
            <w:vAlign w:val="center"/>
          </w:tcPr>
          <w:p w14:paraId="36170C05" w14:textId="77777777" w:rsidR="00D3174A" w:rsidRDefault="00D3174A" w:rsidP="00833728"/>
        </w:tc>
        <w:tc>
          <w:tcPr>
            <w:tcW w:w="1980" w:type="dxa"/>
            <w:vAlign w:val="center"/>
          </w:tcPr>
          <w:p w14:paraId="2D34D942" w14:textId="77777777" w:rsidR="00D3174A" w:rsidRDefault="00D3174A" w:rsidP="00833728">
            <w:r>
              <w:t>V</w:t>
            </w:r>
            <w:r w:rsidRPr="00D3174A">
              <w:t>alidation</w:t>
            </w:r>
          </w:p>
        </w:tc>
        <w:tc>
          <w:tcPr>
            <w:tcW w:w="1497" w:type="dxa"/>
            <w:vAlign w:val="center"/>
          </w:tcPr>
          <w:p w14:paraId="5F7F90B7" w14:textId="77777777" w:rsidR="00D3174A" w:rsidRDefault="00D3174A" w:rsidP="00833728">
            <w:r>
              <w:t>SLTDA</w:t>
            </w:r>
          </w:p>
        </w:tc>
        <w:tc>
          <w:tcPr>
            <w:tcW w:w="494" w:type="dxa"/>
            <w:shd w:val="clear" w:color="auto" w:fill="BFBFBF" w:themeFill="background1" w:themeFillShade="BF"/>
            <w:vAlign w:val="center"/>
          </w:tcPr>
          <w:p w14:paraId="3BDFB138" w14:textId="77777777" w:rsidR="00D3174A" w:rsidRDefault="00D3174A" w:rsidP="00597E5D">
            <w:pPr>
              <w:jc w:val="center"/>
            </w:pPr>
          </w:p>
        </w:tc>
        <w:tc>
          <w:tcPr>
            <w:tcW w:w="494" w:type="dxa"/>
            <w:vAlign w:val="center"/>
          </w:tcPr>
          <w:p w14:paraId="0F9E8B09" w14:textId="77777777" w:rsidR="00D3174A" w:rsidRDefault="00D3174A" w:rsidP="00597E5D">
            <w:pPr>
              <w:jc w:val="center"/>
            </w:pPr>
          </w:p>
        </w:tc>
        <w:tc>
          <w:tcPr>
            <w:tcW w:w="494" w:type="dxa"/>
            <w:vAlign w:val="center"/>
          </w:tcPr>
          <w:p w14:paraId="50489C01" w14:textId="77777777" w:rsidR="00D3174A" w:rsidRDefault="00D3174A" w:rsidP="00597E5D">
            <w:pPr>
              <w:jc w:val="center"/>
            </w:pPr>
          </w:p>
        </w:tc>
        <w:tc>
          <w:tcPr>
            <w:tcW w:w="494" w:type="dxa"/>
            <w:vAlign w:val="center"/>
          </w:tcPr>
          <w:p w14:paraId="0C95B400" w14:textId="77777777" w:rsidR="00D3174A" w:rsidRDefault="00D3174A" w:rsidP="00597E5D">
            <w:pPr>
              <w:jc w:val="center"/>
            </w:pPr>
          </w:p>
        </w:tc>
        <w:tc>
          <w:tcPr>
            <w:tcW w:w="494" w:type="dxa"/>
            <w:vAlign w:val="center"/>
          </w:tcPr>
          <w:p w14:paraId="66270B1C" w14:textId="77777777" w:rsidR="00D3174A" w:rsidRDefault="00D3174A" w:rsidP="00597E5D">
            <w:pPr>
              <w:jc w:val="center"/>
            </w:pPr>
          </w:p>
        </w:tc>
        <w:tc>
          <w:tcPr>
            <w:tcW w:w="494" w:type="dxa"/>
            <w:vAlign w:val="center"/>
          </w:tcPr>
          <w:p w14:paraId="02E22A56" w14:textId="77777777" w:rsidR="00D3174A" w:rsidRDefault="00D3174A" w:rsidP="00597E5D">
            <w:pPr>
              <w:jc w:val="center"/>
            </w:pPr>
          </w:p>
        </w:tc>
        <w:tc>
          <w:tcPr>
            <w:tcW w:w="494" w:type="dxa"/>
            <w:vAlign w:val="center"/>
          </w:tcPr>
          <w:p w14:paraId="397ECDB4" w14:textId="77777777" w:rsidR="00D3174A" w:rsidRDefault="00D3174A" w:rsidP="00597E5D">
            <w:pPr>
              <w:jc w:val="center"/>
            </w:pPr>
          </w:p>
        </w:tc>
      </w:tr>
      <w:tr w:rsidR="00D3174A" w14:paraId="6126ECA5" w14:textId="77777777" w:rsidTr="005D26AA">
        <w:trPr>
          <w:trHeight w:val="638"/>
        </w:trPr>
        <w:tc>
          <w:tcPr>
            <w:tcW w:w="2082" w:type="dxa"/>
            <w:vMerge/>
            <w:vAlign w:val="center"/>
          </w:tcPr>
          <w:p w14:paraId="1745D66C" w14:textId="77777777" w:rsidR="00D3174A" w:rsidRDefault="00D3174A" w:rsidP="00833728"/>
        </w:tc>
        <w:tc>
          <w:tcPr>
            <w:tcW w:w="1980" w:type="dxa"/>
            <w:vAlign w:val="center"/>
          </w:tcPr>
          <w:p w14:paraId="6D3FA1AF" w14:textId="77777777" w:rsidR="00D3174A" w:rsidRDefault="00D3174A" w:rsidP="00833728">
            <w:r>
              <w:t>Government approval</w:t>
            </w:r>
          </w:p>
        </w:tc>
        <w:tc>
          <w:tcPr>
            <w:tcW w:w="1497" w:type="dxa"/>
            <w:vAlign w:val="center"/>
          </w:tcPr>
          <w:p w14:paraId="3D2A961C" w14:textId="77777777" w:rsidR="00D3174A" w:rsidRDefault="00D3174A" w:rsidP="00833728">
            <w:r>
              <w:t>SLTDA</w:t>
            </w:r>
          </w:p>
        </w:tc>
        <w:tc>
          <w:tcPr>
            <w:tcW w:w="494" w:type="dxa"/>
            <w:shd w:val="clear" w:color="auto" w:fill="BFBFBF" w:themeFill="background1" w:themeFillShade="BF"/>
            <w:vAlign w:val="center"/>
          </w:tcPr>
          <w:p w14:paraId="25CD7A6E" w14:textId="77777777" w:rsidR="00D3174A" w:rsidRDefault="00D3174A" w:rsidP="00597E5D">
            <w:pPr>
              <w:jc w:val="center"/>
            </w:pPr>
          </w:p>
        </w:tc>
        <w:tc>
          <w:tcPr>
            <w:tcW w:w="494" w:type="dxa"/>
            <w:vAlign w:val="center"/>
          </w:tcPr>
          <w:p w14:paraId="56DE81A9" w14:textId="77777777" w:rsidR="00D3174A" w:rsidRDefault="00D3174A" w:rsidP="00597E5D">
            <w:pPr>
              <w:jc w:val="center"/>
            </w:pPr>
          </w:p>
        </w:tc>
        <w:tc>
          <w:tcPr>
            <w:tcW w:w="494" w:type="dxa"/>
            <w:vAlign w:val="center"/>
          </w:tcPr>
          <w:p w14:paraId="312116F9" w14:textId="77777777" w:rsidR="00D3174A" w:rsidRDefault="00D3174A" w:rsidP="00597E5D">
            <w:pPr>
              <w:jc w:val="center"/>
            </w:pPr>
          </w:p>
        </w:tc>
        <w:tc>
          <w:tcPr>
            <w:tcW w:w="494" w:type="dxa"/>
            <w:vAlign w:val="center"/>
          </w:tcPr>
          <w:p w14:paraId="5D7B1B7B" w14:textId="77777777" w:rsidR="00D3174A" w:rsidRDefault="00D3174A" w:rsidP="00597E5D">
            <w:pPr>
              <w:jc w:val="center"/>
            </w:pPr>
          </w:p>
        </w:tc>
        <w:tc>
          <w:tcPr>
            <w:tcW w:w="494" w:type="dxa"/>
            <w:vAlign w:val="center"/>
          </w:tcPr>
          <w:p w14:paraId="56DA3365" w14:textId="77777777" w:rsidR="00D3174A" w:rsidRDefault="00D3174A" w:rsidP="00597E5D">
            <w:pPr>
              <w:jc w:val="center"/>
            </w:pPr>
          </w:p>
        </w:tc>
        <w:tc>
          <w:tcPr>
            <w:tcW w:w="494" w:type="dxa"/>
            <w:vAlign w:val="center"/>
          </w:tcPr>
          <w:p w14:paraId="0BF2913F" w14:textId="77777777" w:rsidR="00D3174A" w:rsidRDefault="00D3174A" w:rsidP="00597E5D">
            <w:pPr>
              <w:jc w:val="center"/>
            </w:pPr>
          </w:p>
        </w:tc>
        <w:tc>
          <w:tcPr>
            <w:tcW w:w="494" w:type="dxa"/>
            <w:vAlign w:val="center"/>
          </w:tcPr>
          <w:p w14:paraId="73BAD269" w14:textId="77777777" w:rsidR="00D3174A" w:rsidRDefault="00D3174A" w:rsidP="00597E5D">
            <w:pPr>
              <w:jc w:val="center"/>
            </w:pPr>
          </w:p>
        </w:tc>
      </w:tr>
      <w:tr w:rsidR="00597E5D" w14:paraId="72361563" w14:textId="77777777" w:rsidTr="00EA1BB7">
        <w:tc>
          <w:tcPr>
            <w:tcW w:w="2082" w:type="dxa"/>
            <w:vAlign w:val="center"/>
          </w:tcPr>
          <w:p w14:paraId="2D51625D" w14:textId="77777777" w:rsidR="00597E5D" w:rsidRDefault="00833728" w:rsidP="00833728">
            <w:r>
              <w:t>Capacity building</w:t>
            </w:r>
          </w:p>
        </w:tc>
        <w:tc>
          <w:tcPr>
            <w:tcW w:w="1980" w:type="dxa"/>
            <w:vAlign w:val="center"/>
          </w:tcPr>
          <w:p w14:paraId="26375D42" w14:textId="77777777" w:rsidR="00597E5D" w:rsidRDefault="00833728" w:rsidP="00833728">
            <w:r>
              <w:t>Training and awareness programmes</w:t>
            </w:r>
          </w:p>
        </w:tc>
        <w:tc>
          <w:tcPr>
            <w:tcW w:w="1497" w:type="dxa"/>
            <w:vAlign w:val="center"/>
          </w:tcPr>
          <w:p w14:paraId="35016DCA" w14:textId="77777777" w:rsidR="00597E5D" w:rsidRDefault="00833728" w:rsidP="00833728">
            <w:r>
              <w:t>SLTDA</w:t>
            </w:r>
          </w:p>
        </w:tc>
        <w:tc>
          <w:tcPr>
            <w:tcW w:w="494" w:type="dxa"/>
            <w:shd w:val="clear" w:color="auto" w:fill="BFBFBF" w:themeFill="background1" w:themeFillShade="BF"/>
            <w:vAlign w:val="center"/>
          </w:tcPr>
          <w:p w14:paraId="12DDBCCC" w14:textId="77777777" w:rsidR="00597E5D" w:rsidRDefault="00597E5D" w:rsidP="00597E5D">
            <w:pPr>
              <w:jc w:val="center"/>
            </w:pPr>
          </w:p>
        </w:tc>
        <w:tc>
          <w:tcPr>
            <w:tcW w:w="494" w:type="dxa"/>
            <w:vAlign w:val="center"/>
          </w:tcPr>
          <w:p w14:paraId="5FA08C7D" w14:textId="77777777" w:rsidR="00597E5D" w:rsidRDefault="00597E5D" w:rsidP="00597E5D">
            <w:pPr>
              <w:jc w:val="center"/>
            </w:pPr>
          </w:p>
        </w:tc>
        <w:tc>
          <w:tcPr>
            <w:tcW w:w="494" w:type="dxa"/>
            <w:vAlign w:val="center"/>
          </w:tcPr>
          <w:p w14:paraId="2D3A81F6" w14:textId="77777777" w:rsidR="00597E5D" w:rsidRDefault="00597E5D" w:rsidP="00597E5D">
            <w:pPr>
              <w:jc w:val="center"/>
            </w:pPr>
          </w:p>
        </w:tc>
        <w:tc>
          <w:tcPr>
            <w:tcW w:w="494" w:type="dxa"/>
            <w:vAlign w:val="center"/>
          </w:tcPr>
          <w:p w14:paraId="38987915" w14:textId="77777777" w:rsidR="00597E5D" w:rsidRDefault="00597E5D" w:rsidP="00597E5D">
            <w:pPr>
              <w:jc w:val="center"/>
            </w:pPr>
          </w:p>
        </w:tc>
        <w:tc>
          <w:tcPr>
            <w:tcW w:w="494" w:type="dxa"/>
            <w:vAlign w:val="center"/>
          </w:tcPr>
          <w:p w14:paraId="4C69F5BE" w14:textId="77777777" w:rsidR="00597E5D" w:rsidRDefault="00597E5D" w:rsidP="00597E5D">
            <w:pPr>
              <w:jc w:val="center"/>
            </w:pPr>
          </w:p>
        </w:tc>
        <w:tc>
          <w:tcPr>
            <w:tcW w:w="494" w:type="dxa"/>
            <w:vAlign w:val="center"/>
          </w:tcPr>
          <w:p w14:paraId="18054F12" w14:textId="77777777" w:rsidR="00597E5D" w:rsidRDefault="00597E5D" w:rsidP="00597E5D">
            <w:pPr>
              <w:jc w:val="center"/>
            </w:pPr>
          </w:p>
        </w:tc>
        <w:tc>
          <w:tcPr>
            <w:tcW w:w="494" w:type="dxa"/>
            <w:vAlign w:val="center"/>
          </w:tcPr>
          <w:p w14:paraId="1EB71F3C" w14:textId="77777777" w:rsidR="00597E5D" w:rsidRDefault="00597E5D" w:rsidP="00597E5D">
            <w:pPr>
              <w:jc w:val="center"/>
            </w:pPr>
          </w:p>
        </w:tc>
      </w:tr>
      <w:tr w:rsidR="00AB5CE0" w14:paraId="365CD9B4" w14:textId="77777777" w:rsidTr="00EA1BB7">
        <w:tc>
          <w:tcPr>
            <w:tcW w:w="2082" w:type="dxa"/>
            <w:vAlign w:val="center"/>
          </w:tcPr>
          <w:p w14:paraId="1FDF79F1" w14:textId="77777777" w:rsidR="00AB5CE0" w:rsidRDefault="00AB5CE0" w:rsidP="00833728">
            <w:r>
              <w:t>PHASE 2</w:t>
            </w:r>
          </w:p>
        </w:tc>
        <w:tc>
          <w:tcPr>
            <w:tcW w:w="1980" w:type="dxa"/>
            <w:vAlign w:val="center"/>
          </w:tcPr>
          <w:p w14:paraId="5B55D982" w14:textId="77777777" w:rsidR="00AB5CE0" w:rsidRDefault="00AB5CE0" w:rsidP="00D315B0"/>
        </w:tc>
        <w:tc>
          <w:tcPr>
            <w:tcW w:w="1497" w:type="dxa"/>
            <w:vAlign w:val="center"/>
          </w:tcPr>
          <w:p w14:paraId="07862A98" w14:textId="77777777" w:rsidR="00AB5CE0" w:rsidRDefault="00AB5CE0" w:rsidP="00833728"/>
        </w:tc>
        <w:tc>
          <w:tcPr>
            <w:tcW w:w="494" w:type="dxa"/>
            <w:vAlign w:val="center"/>
          </w:tcPr>
          <w:p w14:paraId="411CBEF1" w14:textId="77777777" w:rsidR="00AB5CE0" w:rsidRDefault="00AB5CE0" w:rsidP="00597E5D">
            <w:pPr>
              <w:jc w:val="center"/>
            </w:pPr>
          </w:p>
        </w:tc>
        <w:tc>
          <w:tcPr>
            <w:tcW w:w="494" w:type="dxa"/>
            <w:shd w:val="clear" w:color="auto" w:fill="FFFFFF" w:themeFill="background1"/>
            <w:vAlign w:val="center"/>
          </w:tcPr>
          <w:p w14:paraId="06D60676" w14:textId="77777777" w:rsidR="00AB5CE0" w:rsidRDefault="00AB5CE0" w:rsidP="00597E5D">
            <w:pPr>
              <w:jc w:val="center"/>
            </w:pPr>
          </w:p>
        </w:tc>
        <w:tc>
          <w:tcPr>
            <w:tcW w:w="494" w:type="dxa"/>
            <w:vAlign w:val="center"/>
          </w:tcPr>
          <w:p w14:paraId="5BC2875A" w14:textId="77777777" w:rsidR="00AB5CE0" w:rsidRDefault="00AB5CE0" w:rsidP="00597E5D">
            <w:pPr>
              <w:jc w:val="center"/>
            </w:pPr>
          </w:p>
        </w:tc>
        <w:tc>
          <w:tcPr>
            <w:tcW w:w="494" w:type="dxa"/>
            <w:vAlign w:val="center"/>
          </w:tcPr>
          <w:p w14:paraId="50CF6129" w14:textId="77777777" w:rsidR="00AB5CE0" w:rsidRDefault="00AB5CE0" w:rsidP="00597E5D">
            <w:pPr>
              <w:jc w:val="center"/>
            </w:pPr>
          </w:p>
        </w:tc>
        <w:tc>
          <w:tcPr>
            <w:tcW w:w="494" w:type="dxa"/>
            <w:vAlign w:val="center"/>
          </w:tcPr>
          <w:p w14:paraId="3ECF3717" w14:textId="77777777" w:rsidR="00AB5CE0" w:rsidRDefault="00AB5CE0" w:rsidP="00597E5D">
            <w:pPr>
              <w:jc w:val="center"/>
            </w:pPr>
          </w:p>
        </w:tc>
        <w:tc>
          <w:tcPr>
            <w:tcW w:w="494" w:type="dxa"/>
            <w:vAlign w:val="center"/>
          </w:tcPr>
          <w:p w14:paraId="2E8134FD" w14:textId="77777777" w:rsidR="00AB5CE0" w:rsidRDefault="00AB5CE0" w:rsidP="00597E5D">
            <w:pPr>
              <w:jc w:val="center"/>
            </w:pPr>
          </w:p>
        </w:tc>
        <w:tc>
          <w:tcPr>
            <w:tcW w:w="494" w:type="dxa"/>
            <w:vAlign w:val="center"/>
          </w:tcPr>
          <w:p w14:paraId="2DDA9A43" w14:textId="77777777" w:rsidR="00AB5CE0" w:rsidRDefault="00AB5CE0" w:rsidP="00597E5D">
            <w:pPr>
              <w:jc w:val="center"/>
            </w:pPr>
          </w:p>
        </w:tc>
      </w:tr>
      <w:tr w:rsidR="009E1452" w14:paraId="421EEC3A" w14:textId="77777777" w:rsidTr="00EA1BB7">
        <w:tc>
          <w:tcPr>
            <w:tcW w:w="2082" w:type="dxa"/>
            <w:vMerge w:val="restart"/>
            <w:vAlign w:val="center"/>
          </w:tcPr>
          <w:p w14:paraId="23188E4E" w14:textId="77777777" w:rsidR="009E1452" w:rsidRDefault="009E1452" w:rsidP="00833728">
            <w:r>
              <w:t>Implementation for accommodation sector</w:t>
            </w:r>
          </w:p>
        </w:tc>
        <w:tc>
          <w:tcPr>
            <w:tcW w:w="1980" w:type="dxa"/>
            <w:vAlign w:val="center"/>
          </w:tcPr>
          <w:p w14:paraId="00181DDB" w14:textId="77777777" w:rsidR="009E1452" w:rsidRDefault="009E1452" w:rsidP="00D315B0">
            <w:r>
              <w:t>Application, assessment and certification</w:t>
            </w:r>
          </w:p>
        </w:tc>
        <w:tc>
          <w:tcPr>
            <w:tcW w:w="1497" w:type="dxa"/>
            <w:vAlign w:val="center"/>
          </w:tcPr>
          <w:p w14:paraId="383E1408" w14:textId="77777777" w:rsidR="009E1452" w:rsidRDefault="009E1452" w:rsidP="00833728">
            <w:r>
              <w:t>SLTDA</w:t>
            </w:r>
          </w:p>
        </w:tc>
        <w:tc>
          <w:tcPr>
            <w:tcW w:w="494" w:type="dxa"/>
            <w:vAlign w:val="center"/>
          </w:tcPr>
          <w:p w14:paraId="40933699" w14:textId="77777777" w:rsidR="009E1452" w:rsidRDefault="009E1452" w:rsidP="00597E5D">
            <w:pPr>
              <w:jc w:val="center"/>
            </w:pPr>
          </w:p>
        </w:tc>
        <w:tc>
          <w:tcPr>
            <w:tcW w:w="494" w:type="dxa"/>
            <w:shd w:val="clear" w:color="auto" w:fill="BFBFBF" w:themeFill="background1" w:themeFillShade="BF"/>
            <w:vAlign w:val="center"/>
          </w:tcPr>
          <w:p w14:paraId="6AA25BD4" w14:textId="77777777" w:rsidR="009E1452" w:rsidRDefault="009E1452" w:rsidP="00597E5D">
            <w:pPr>
              <w:jc w:val="center"/>
            </w:pPr>
          </w:p>
        </w:tc>
        <w:tc>
          <w:tcPr>
            <w:tcW w:w="494" w:type="dxa"/>
            <w:vAlign w:val="center"/>
          </w:tcPr>
          <w:p w14:paraId="71A9C275" w14:textId="77777777" w:rsidR="009E1452" w:rsidRDefault="009E1452" w:rsidP="00597E5D">
            <w:pPr>
              <w:jc w:val="center"/>
            </w:pPr>
          </w:p>
        </w:tc>
        <w:tc>
          <w:tcPr>
            <w:tcW w:w="494" w:type="dxa"/>
            <w:vAlign w:val="center"/>
          </w:tcPr>
          <w:p w14:paraId="1895F8AB" w14:textId="77777777" w:rsidR="009E1452" w:rsidRDefault="009E1452" w:rsidP="00597E5D">
            <w:pPr>
              <w:jc w:val="center"/>
            </w:pPr>
          </w:p>
        </w:tc>
        <w:tc>
          <w:tcPr>
            <w:tcW w:w="494" w:type="dxa"/>
            <w:vAlign w:val="center"/>
          </w:tcPr>
          <w:p w14:paraId="4C717CD4" w14:textId="77777777" w:rsidR="009E1452" w:rsidRDefault="009E1452" w:rsidP="00597E5D">
            <w:pPr>
              <w:jc w:val="center"/>
            </w:pPr>
          </w:p>
        </w:tc>
        <w:tc>
          <w:tcPr>
            <w:tcW w:w="494" w:type="dxa"/>
            <w:vAlign w:val="center"/>
          </w:tcPr>
          <w:p w14:paraId="38CEC082" w14:textId="77777777" w:rsidR="009E1452" w:rsidRDefault="009E1452" w:rsidP="00597E5D">
            <w:pPr>
              <w:jc w:val="center"/>
            </w:pPr>
          </w:p>
        </w:tc>
        <w:tc>
          <w:tcPr>
            <w:tcW w:w="494" w:type="dxa"/>
            <w:vAlign w:val="center"/>
          </w:tcPr>
          <w:p w14:paraId="6EBC1FDA" w14:textId="77777777" w:rsidR="009E1452" w:rsidRDefault="009E1452" w:rsidP="00597E5D">
            <w:pPr>
              <w:jc w:val="center"/>
            </w:pPr>
          </w:p>
        </w:tc>
      </w:tr>
      <w:tr w:rsidR="009E1452" w14:paraId="6CA0034E" w14:textId="77777777" w:rsidTr="00EA1BB7">
        <w:tc>
          <w:tcPr>
            <w:tcW w:w="2082" w:type="dxa"/>
            <w:vMerge/>
            <w:vAlign w:val="center"/>
          </w:tcPr>
          <w:p w14:paraId="375934A1" w14:textId="77777777" w:rsidR="009E1452" w:rsidRDefault="009E1452" w:rsidP="00833728"/>
        </w:tc>
        <w:tc>
          <w:tcPr>
            <w:tcW w:w="1980" w:type="dxa"/>
            <w:vAlign w:val="center"/>
          </w:tcPr>
          <w:p w14:paraId="7444C9DE" w14:textId="77777777" w:rsidR="009E1452" w:rsidRDefault="009E1452" w:rsidP="00D315B0">
            <w:r>
              <w:t>Monitoring and evaluation</w:t>
            </w:r>
          </w:p>
        </w:tc>
        <w:tc>
          <w:tcPr>
            <w:tcW w:w="1497" w:type="dxa"/>
            <w:vAlign w:val="center"/>
          </w:tcPr>
          <w:p w14:paraId="0E01517F" w14:textId="77777777" w:rsidR="009E1452" w:rsidRDefault="009E1452" w:rsidP="00833728">
            <w:r>
              <w:t>SLTDA</w:t>
            </w:r>
          </w:p>
        </w:tc>
        <w:tc>
          <w:tcPr>
            <w:tcW w:w="494" w:type="dxa"/>
            <w:vAlign w:val="center"/>
          </w:tcPr>
          <w:p w14:paraId="63A034C0" w14:textId="77777777" w:rsidR="009E1452" w:rsidRDefault="009E1452" w:rsidP="00597E5D">
            <w:pPr>
              <w:jc w:val="center"/>
            </w:pPr>
          </w:p>
        </w:tc>
        <w:tc>
          <w:tcPr>
            <w:tcW w:w="494" w:type="dxa"/>
            <w:shd w:val="clear" w:color="auto" w:fill="BFBFBF" w:themeFill="background1" w:themeFillShade="BF"/>
            <w:vAlign w:val="center"/>
          </w:tcPr>
          <w:p w14:paraId="14148BC2" w14:textId="77777777" w:rsidR="009E1452" w:rsidRDefault="009E1452" w:rsidP="00597E5D">
            <w:pPr>
              <w:jc w:val="center"/>
            </w:pPr>
          </w:p>
        </w:tc>
        <w:tc>
          <w:tcPr>
            <w:tcW w:w="494" w:type="dxa"/>
            <w:vAlign w:val="center"/>
          </w:tcPr>
          <w:p w14:paraId="73425B6E" w14:textId="77777777" w:rsidR="009E1452" w:rsidRDefault="009E1452" w:rsidP="00597E5D">
            <w:pPr>
              <w:jc w:val="center"/>
            </w:pPr>
          </w:p>
        </w:tc>
        <w:tc>
          <w:tcPr>
            <w:tcW w:w="494" w:type="dxa"/>
            <w:vAlign w:val="center"/>
          </w:tcPr>
          <w:p w14:paraId="53BA6F84" w14:textId="77777777" w:rsidR="009E1452" w:rsidRDefault="009E1452" w:rsidP="00597E5D">
            <w:pPr>
              <w:jc w:val="center"/>
            </w:pPr>
          </w:p>
        </w:tc>
        <w:tc>
          <w:tcPr>
            <w:tcW w:w="494" w:type="dxa"/>
            <w:vAlign w:val="center"/>
          </w:tcPr>
          <w:p w14:paraId="3254EBCD" w14:textId="77777777" w:rsidR="009E1452" w:rsidRDefault="009E1452" w:rsidP="00597E5D">
            <w:pPr>
              <w:jc w:val="center"/>
            </w:pPr>
          </w:p>
        </w:tc>
        <w:tc>
          <w:tcPr>
            <w:tcW w:w="494" w:type="dxa"/>
            <w:vAlign w:val="center"/>
          </w:tcPr>
          <w:p w14:paraId="7EE6F0EF" w14:textId="77777777" w:rsidR="009E1452" w:rsidRDefault="009E1452" w:rsidP="00597E5D">
            <w:pPr>
              <w:jc w:val="center"/>
            </w:pPr>
          </w:p>
        </w:tc>
        <w:tc>
          <w:tcPr>
            <w:tcW w:w="494" w:type="dxa"/>
            <w:vAlign w:val="center"/>
          </w:tcPr>
          <w:p w14:paraId="7CB5FC61" w14:textId="77777777" w:rsidR="009E1452" w:rsidRDefault="009E1452" w:rsidP="00597E5D">
            <w:pPr>
              <w:jc w:val="center"/>
            </w:pPr>
          </w:p>
        </w:tc>
      </w:tr>
      <w:tr w:rsidR="009E1452" w14:paraId="030C0677" w14:textId="77777777" w:rsidTr="00EA1BB7">
        <w:tc>
          <w:tcPr>
            <w:tcW w:w="2082" w:type="dxa"/>
            <w:vMerge w:val="restart"/>
            <w:vAlign w:val="center"/>
          </w:tcPr>
          <w:p w14:paraId="51ABC118" w14:textId="77777777" w:rsidR="009E1452" w:rsidRPr="00833728" w:rsidRDefault="009E1452" w:rsidP="00833728">
            <w:r w:rsidRPr="00833728">
              <w:t>Criteria for sus</w:t>
            </w:r>
            <w:r>
              <w:t>tainable tourism certification for all sectors</w:t>
            </w:r>
          </w:p>
        </w:tc>
        <w:tc>
          <w:tcPr>
            <w:tcW w:w="1980" w:type="dxa"/>
            <w:vAlign w:val="center"/>
          </w:tcPr>
          <w:p w14:paraId="451B9600" w14:textId="77777777" w:rsidR="009E1452" w:rsidRDefault="009E1452" w:rsidP="00DC1773">
            <w:r w:rsidRPr="009E1452">
              <w:t>Review</w:t>
            </w:r>
            <w:r>
              <w:t>ing</w:t>
            </w:r>
            <w:r w:rsidRPr="009E1452">
              <w:t xml:space="preserve"> of criteria</w:t>
            </w:r>
          </w:p>
        </w:tc>
        <w:tc>
          <w:tcPr>
            <w:tcW w:w="1497" w:type="dxa"/>
            <w:vAlign w:val="center"/>
          </w:tcPr>
          <w:p w14:paraId="4E566780" w14:textId="77777777" w:rsidR="009E1452" w:rsidRDefault="009E1452" w:rsidP="00833728">
            <w:r>
              <w:t>SLTDA</w:t>
            </w:r>
          </w:p>
        </w:tc>
        <w:tc>
          <w:tcPr>
            <w:tcW w:w="494" w:type="dxa"/>
            <w:vAlign w:val="center"/>
          </w:tcPr>
          <w:p w14:paraId="63CD69BF" w14:textId="77777777" w:rsidR="009E1452" w:rsidRDefault="009E1452" w:rsidP="00597E5D">
            <w:pPr>
              <w:jc w:val="center"/>
            </w:pPr>
          </w:p>
        </w:tc>
        <w:tc>
          <w:tcPr>
            <w:tcW w:w="494" w:type="dxa"/>
            <w:shd w:val="clear" w:color="auto" w:fill="BFBFBF" w:themeFill="background1" w:themeFillShade="BF"/>
            <w:vAlign w:val="center"/>
          </w:tcPr>
          <w:p w14:paraId="5A5EB2D4" w14:textId="77777777" w:rsidR="009E1452" w:rsidRDefault="009E1452" w:rsidP="00597E5D">
            <w:pPr>
              <w:jc w:val="center"/>
            </w:pPr>
          </w:p>
        </w:tc>
        <w:tc>
          <w:tcPr>
            <w:tcW w:w="494" w:type="dxa"/>
            <w:shd w:val="clear" w:color="auto" w:fill="BFBFBF" w:themeFill="background1" w:themeFillShade="BF"/>
            <w:vAlign w:val="center"/>
          </w:tcPr>
          <w:p w14:paraId="7DFF652D" w14:textId="77777777" w:rsidR="009E1452" w:rsidRDefault="009E1452" w:rsidP="00597E5D">
            <w:pPr>
              <w:jc w:val="center"/>
            </w:pPr>
          </w:p>
        </w:tc>
        <w:tc>
          <w:tcPr>
            <w:tcW w:w="494" w:type="dxa"/>
            <w:shd w:val="clear" w:color="auto" w:fill="FFFFFF" w:themeFill="background1"/>
            <w:vAlign w:val="center"/>
          </w:tcPr>
          <w:p w14:paraId="49D95A58" w14:textId="77777777" w:rsidR="009E1452" w:rsidRDefault="009E1452" w:rsidP="00597E5D">
            <w:pPr>
              <w:jc w:val="center"/>
            </w:pPr>
          </w:p>
        </w:tc>
        <w:tc>
          <w:tcPr>
            <w:tcW w:w="494" w:type="dxa"/>
            <w:vAlign w:val="center"/>
          </w:tcPr>
          <w:p w14:paraId="326BCA7F" w14:textId="77777777" w:rsidR="009E1452" w:rsidRDefault="009E1452" w:rsidP="00597E5D">
            <w:pPr>
              <w:jc w:val="center"/>
            </w:pPr>
          </w:p>
        </w:tc>
        <w:tc>
          <w:tcPr>
            <w:tcW w:w="494" w:type="dxa"/>
            <w:vAlign w:val="center"/>
          </w:tcPr>
          <w:p w14:paraId="6C442C85" w14:textId="77777777" w:rsidR="009E1452" w:rsidRDefault="009E1452" w:rsidP="00597E5D">
            <w:pPr>
              <w:jc w:val="center"/>
            </w:pPr>
          </w:p>
        </w:tc>
        <w:tc>
          <w:tcPr>
            <w:tcW w:w="494" w:type="dxa"/>
            <w:vAlign w:val="center"/>
          </w:tcPr>
          <w:p w14:paraId="0E6CE7F9" w14:textId="77777777" w:rsidR="009E1452" w:rsidRDefault="009E1452" w:rsidP="00597E5D">
            <w:pPr>
              <w:jc w:val="center"/>
            </w:pPr>
          </w:p>
        </w:tc>
      </w:tr>
      <w:tr w:rsidR="009E1452" w14:paraId="3046E897" w14:textId="77777777" w:rsidTr="00EA1BB7">
        <w:tc>
          <w:tcPr>
            <w:tcW w:w="2082" w:type="dxa"/>
            <w:vMerge/>
            <w:vAlign w:val="center"/>
          </w:tcPr>
          <w:p w14:paraId="7F60AFE2" w14:textId="77777777" w:rsidR="009E1452" w:rsidRDefault="009E1452" w:rsidP="00833728"/>
        </w:tc>
        <w:tc>
          <w:tcPr>
            <w:tcW w:w="1980" w:type="dxa"/>
            <w:vAlign w:val="center"/>
          </w:tcPr>
          <w:p w14:paraId="3B487B33" w14:textId="77777777" w:rsidR="009E1452" w:rsidRDefault="009E1452" w:rsidP="00DC1773">
            <w:r>
              <w:t>Incorporating</w:t>
            </w:r>
          </w:p>
          <w:p w14:paraId="66AB14F0" w14:textId="77777777" w:rsidR="009E1452" w:rsidRDefault="009E1452" w:rsidP="00DC1773">
            <w:r>
              <w:t>all tourism-related sectors</w:t>
            </w:r>
          </w:p>
        </w:tc>
        <w:tc>
          <w:tcPr>
            <w:tcW w:w="1497" w:type="dxa"/>
            <w:vAlign w:val="center"/>
          </w:tcPr>
          <w:p w14:paraId="4C4F2AFB" w14:textId="77777777" w:rsidR="009E1452" w:rsidRDefault="009E1452" w:rsidP="00833728">
            <w:r>
              <w:t>SLTDA</w:t>
            </w:r>
          </w:p>
        </w:tc>
        <w:tc>
          <w:tcPr>
            <w:tcW w:w="494" w:type="dxa"/>
            <w:vAlign w:val="center"/>
          </w:tcPr>
          <w:p w14:paraId="1430B953" w14:textId="77777777" w:rsidR="009E1452" w:rsidRDefault="009E1452" w:rsidP="00597E5D">
            <w:pPr>
              <w:jc w:val="center"/>
            </w:pPr>
          </w:p>
        </w:tc>
        <w:tc>
          <w:tcPr>
            <w:tcW w:w="494" w:type="dxa"/>
            <w:shd w:val="clear" w:color="auto" w:fill="BFBFBF" w:themeFill="background1" w:themeFillShade="BF"/>
            <w:vAlign w:val="center"/>
          </w:tcPr>
          <w:p w14:paraId="2C426C56" w14:textId="77777777" w:rsidR="009E1452" w:rsidRDefault="009E1452" w:rsidP="00597E5D">
            <w:pPr>
              <w:jc w:val="center"/>
            </w:pPr>
          </w:p>
        </w:tc>
        <w:tc>
          <w:tcPr>
            <w:tcW w:w="494" w:type="dxa"/>
            <w:shd w:val="clear" w:color="auto" w:fill="BFBFBF" w:themeFill="background1" w:themeFillShade="BF"/>
            <w:vAlign w:val="center"/>
          </w:tcPr>
          <w:p w14:paraId="0B42E827" w14:textId="77777777" w:rsidR="009E1452" w:rsidRDefault="009E1452" w:rsidP="00597E5D">
            <w:pPr>
              <w:jc w:val="center"/>
            </w:pPr>
          </w:p>
        </w:tc>
        <w:tc>
          <w:tcPr>
            <w:tcW w:w="494" w:type="dxa"/>
            <w:shd w:val="clear" w:color="auto" w:fill="FFFFFF" w:themeFill="background1"/>
            <w:vAlign w:val="center"/>
          </w:tcPr>
          <w:p w14:paraId="20D0C988" w14:textId="77777777" w:rsidR="009E1452" w:rsidRDefault="009E1452" w:rsidP="00597E5D">
            <w:pPr>
              <w:jc w:val="center"/>
            </w:pPr>
          </w:p>
        </w:tc>
        <w:tc>
          <w:tcPr>
            <w:tcW w:w="494" w:type="dxa"/>
            <w:vAlign w:val="center"/>
          </w:tcPr>
          <w:p w14:paraId="04D02414" w14:textId="77777777" w:rsidR="009E1452" w:rsidRDefault="009E1452" w:rsidP="00597E5D">
            <w:pPr>
              <w:jc w:val="center"/>
            </w:pPr>
          </w:p>
        </w:tc>
        <w:tc>
          <w:tcPr>
            <w:tcW w:w="494" w:type="dxa"/>
            <w:vAlign w:val="center"/>
          </w:tcPr>
          <w:p w14:paraId="4004B32F" w14:textId="77777777" w:rsidR="009E1452" w:rsidRDefault="009E1452" w:rsidP="00597E5D">
            <w:pPr>
              <w:jc w:val="center"/>
            </w:pPr>
          </w:p>
        </w:tc>
        <w:tc>
          <w:tcPr>
            <w:tcW w:w="494" w:type="dxa"/>
            <w:vAlign w:val="center"/>
          </w:tcPr>
          <w:p w14:paraId="0F5AFA74" w14:textId="77777777" w:rsidR="009E1452" w:rsidRDefault="009E1452" w:rsidP="00597E5D">
            <w:pPr>
              <w:jc w:val="center"/>
            </w:pPr>
          </w:p>
        </w:tc>
      </w:tr>
      <w:tr w:rsidR="009E1452" w14:paraId="54922B5D" w14:textId="77777777" w:rsidTr="00EA1BB7">
        <w:tc>
          <w:tcPr>
            <w:tcW w:w="2082" w:type="dxa"/>
            <w:vMerge w:val="restart"/>
            <w:vAlign w:val="center"/>
          </w:tcPr>
          <w:p w14:paraId="2B55C864" w14:textId="77777777" w:rsidR="009E1452" w:rsidRPr="003C1D59" w:rsidRDefault="009E1452" w:rsidP="0029604A">
            <w:r w:rsidRPr="003C1D59">
              <w:t>Implementation</w:t>
            </w:r>
          </w:p>
        </w:tc>
        <w:tc>
          <w:tcPr>
            <w:tcW w:w="1980" w:type="dxa"/>
            <w:vAlign w:val="center"/>
          </w:tcPr>
          <w:p w14:paraId="14F56E83" w14:textId="77777777" w:rsidR="009E1452" w:rsidRPr="003C1D59" w:rsidRDefault="009E1452" w:rsidP="0029604A">
            <w:r>
              <w:t>Application, assessment and</w:t>
            </w:r>
            <w:r w:rsidRPr="003C1D59">
              <w:t>, certification</w:t>
            </w:r>
            <w:r>
              <w:t xml:space="preserve"> </w:t>
            </w:r>
          </w:p>
        </w:tc>
        <w:tc>
          <w:tcPr>
            <w:tcW w:w="1497" w:type="dxa"/>
            <w:vAlign w:val="center"/>
          </w:tcPr>
          <w:p w14:paraId="269D4453" w14:textId="77777777" w:rsidR="009E1452" w:rsidRDefault="009E1452" w:rsidP="0029604A">
            <w:r w:rsidRPr="003C1D59">
              <w:t>SLTDA</w:t>
            </w:r>
          </w:p>
        </w:tc>
        <w:tc>
          <w:tcPr>
            <w:tcW w:w="494" w:type="dxa"/>
            <w:vAlign w:val="center"/>
          </w:tcPr>
          <w:p w14:paraId="7A52E87C" w14:textId="77777777" w:rsidR="009E1452" w:rsidRDefault="009E1452" w:rsidP="0029604A">
            <w:pPr>
              <w:jc w:val="center"/>
            </w:pPr>
          </w:p>
        </w:tc>
        <w:tc>
          <w:tcPr>
            <w:tcW w:w="494" w:type="dxa"/>
            <w:vAlign w:val="center"/>
          </w:tcPr>
          <w:p w14:paraId="59ADD010" w14:textId="77777777" w:rsidR="009E1452" w:rsidRDefault="009E1452" w:rsidP="0029604A">
            <w:pPr>
              <w:jc w:val="center"/>
            </w:pPr>
          </w:p>
        </w:tc>
        <w:tc>
          <w:tcPr>
            <w:tcW w:w="494" w:type="dxa"/>
            <w:shd w:val="clear" w:color="auto" w:fill="BFBFBF" w:themeFill="background1" w:themeFillShade="BF"/>
            <w:vAlign w:val="center"/>
          </w:tcPr>
          <w:p w14:paraId="7C13C8C1" w14:textId="77777777" w:rsidR="009E1452" w:rsidRDefault="009E1452" w:rsidP="0029604A">
            <w:pPr>
              <w:jc w:val="center"/>
            </w:pPr>
          </w:p>
        </w:tc>
        <w:tc>
          <w:tcPr>
            <w:tcW w:w="494" w:type="dxa"/>
            <w:shd w:val="clear" w:color="auto" w:fill="BFBFBF" w:themeFill="background1" w:themeFillShade="BF"/>
            <w:vAlign w:val="center"/>
          </w:tcPr>
          <w:p w14:paraId="1E09973D" w14:textId="77777777" w:rsidR="009E1452" w:rsidRDefault="009E1452" w:rsidP="0029604A">
            <w:pPr>
              <w:jc w:val="center"/>
            </w:pPr>
          </w:p>
        </w:tc>
        <w:tc>
          <w:tcPr>
            <w:tcW w:w="494" w:type="dxa"/>
            <w:shd w:val="clear" w:color="auto" w:fill="FFFFFF" w:themeFill="background1"/>
            <w:vAlign w:val="center"/>
          </w:tcPr>
          <w:p w14:paraId="70FBD433" w14:textId="77777777" w:rsidR="009E1452" w:rsidRDefault="009E1452" w:rsidP="0029604A">
            <w:pPr>
              <w:jc w:val="center"/>
            </w:pPr>
          </w:p>
        </w:tc>
        <w:tc>
          <w:tcPr>
            <w:tcW w:w="494" w:type="dxa"/>
            <w:shd w:val="clear" w:color="auto" w:fill="FFFFFF" w:themeFill="background1"/>
            <w:vAlign w:val="center"/>
          </w:tcPr>
          <w:p w14:paraId="0808AEF4" w14:textId="77777777" w:rsidR="009E1452" w:rsidRDefault="009E1452" w:rsidP="0029604A">
            <w:pPr>
              <w:jc w:val="center"/>
            </w:pPr>
          </w:p>
        </w:tc>
        <w:tc>
          <w:tcPr>
            <w:tcW w:w="494" w:type="dxa"/>
            <w:shd w:val="clear" w:color="auto" w:fill="FFFFFF" w:themeFill="background1"/>
            <w:vAlign w:val="center"/>
          </w:tcPr>
          <w:p w14:paraId="502C7505" w14:textId="77777777" w:rsidR="009E1452" w:rsidRDefault="009E1452" w:rsidP="0029604A">
            <w:pPr>
              <w:jc w:val="center"/>
            </w:pPr>
          </w:p>
        </w:tc>
      </w:tr>
      <w:tr w:rsidR="009E1452" w14:paraId="29470F2B" w14:textId="77777777" w:rsidTr="00EA1BB7">
        <w:tc>
          <w:tcPr>
            <w:tcW w:w="2082" w:type="dxa"/>
            <w:vMerge/>
            <w:vAlign w:val="center"/>
          </w:tcPr>
          <w:p w14:paraId="069673DE" w14:textId="77777777" w:rsidR="009E1452" w:rsidRPr="003C1D59" w:rsidRDefault="009E1452" w:rsidP="0029604A"/>
        </w:tc>
        <w:tc>
          <w:tcPr>
            <w:tcW w:w="1980" w:type="dxa"/>
            <w:vAlign w:val="center"/>
          </w:tcPr>
          <w:p w14:paraId="54E7C066" w14:textId="77777777" w:rsidR="009E1452" w:rsidRDefault="009E1452" w:rsidP="0029604A">
            <w:r>
              <w:t>Monitoring and evaluation</w:t>
            </w:r>
          </w:p>
        </w:tc>
        <w:tc>
          <w:tcPr>
            <w:tcW w:w="1497" w:type="dxa"/>
            <w:vAlign w:val="center"/>
          </w:tcPr>
          <w:p w14:paraId="59CCDE19" w14:textId="0B894FA1" w:rsidR="009E1452" w:rsidRPr="003C1D59" w:rsidRDefault="009E1452" w:rsidP="0029604A">
            <w:r>
              <w:t>SLTDA</w:t>
            </w:r>
            <w:r w:rsidR="007669CF">
              <w:t>, BIOFIN</w:t>
            </w:r>
          </w:p>
        </w:tc>
        <w:tc>
          <w:tcPr>
            <w:tcW w:w="494" w:type="dxa"/>
            <w:vAlign w:val="center"/>
          </w:tcPr>
          <w:p w14:paraId="23714524" w14:textId="77777777" w:rsidR="009E1452" w:rsidRDefault="009E1452" w:rsidP="0029604A">
            <w:pPr>
              <w:jc w:val="center"/>
            </w:pPr>
          </w:p>
        </w:tc>
        <w:tc>
          <w:tcPr>
            <w:tcW w:w="494" w:type="dxa"/>
            <w:vAlign w:val="center"/>
          </w:tcPr>
          <w:p w14:paraId="4B764AAC" w14:textId="77777777" w:rsidR="009E1452" w:rsidRDefault="009E1452" w:rsidP="0029604A">
            <w:pPr>
              <w:jc w:val="center"/>
            </w:pPr>
          </w:p>
        </w:tc>
        <w:tc>
          <w:tcPr>
            <w:tcW w:w="494" w:type="dxa"/>
            <w:shd w:val="clear" w:color="auto" w:fill="BFBFBF" w:themeFill="background1" w:themeFillShade="BF"/>
            <w:vAlign w:val="center"/>
          </w:tcPr>
          <w:p w14:paraId="141B8519" w14:textId="77777777" w:rsidR="009E1452" w:rsidRDefault="009E1452" w:rsidP="0029604A">
            <w:pPr>
              <w:jc w:val="center"/>
            </w:pPr>
          </w:p>
        </w:tc>
        <w:tc>
          <w:tcPr>
            <w:tcW w:w="494" w:type="dxa"/>
            <w:shd w:val="clear" w:color="auto" w:fill="BFBFBF" w:themeFill="background1" w:themeFillShade="BF"/>
            <w:vAlign w:val="center"/>
          </w:tcPr>
          <w:p w14:paraId="7ECDD709" w14:textId="77777777" w:rsidR="009E1452" w:rsidRDefault="009E1452" w:rsidP="0029604A">
            <w:pPr>
              <w:jc w:val="center"/>
            </w:pPr>
          </w:p>
        </w:tc>
        <w:tc>
          <w:tcPr>
            <w:tcW w:w="494" w:type="dxa"/>
            <w:shd w:val="clear" w:color="auto" w:fill="FFFFFF" w:themeFill="background1"/>
            <w:vAlign w:val="center"/>
          </w:tcPr>
          <w:p w14:paraId="39BF74FF" w14:textId="77777777" w:rsidR="009E1452" w:rsidRDefault="009E1452" w:rsidP="0029604A">
            <w:pPr>
              <w:jc w:val="center"/>
            </w:pPr>
          </w:p>
        </w:tc>
        <w:tc>
          <w:tcPr>
            <w:tcW w:w="494" w:type="dxa"/>
            <w:shd w:val="clear" w:color="auto" w:fill="FFFFFF" w:themeFill="background1"/>
            <w:vAlign w:val="center"/>
          </w:tcPr>
          <w:p w14:paraId="00F836E1" w14:textId="77777777" w:rsidR="009E1452" w:rsidRDefault="009E1452" w:rsidP="0029604A">
            <w:pPr>
              <w:jc w:val="center"/>
            </w:pPr>
          </w:p>
        </w:tc>
        <w:tc>
          <w:tcPr>
            <w:tcW w:w="494" w:type="dxa"/>
            <w:shd w:val="clear" w:color="auto" w:fill="FFFFFF" w:themeFill="background1"/>
            <w:vAlign w:val="center"/>
          </w:tcPr>
          <w:p w14:paraId="4D5DF9DA" w14:textId="77777777" w:rsidR="009E1452" w:rsidRDefault="009E1452" w:rsidP="0029604A">
            <w:pPr>
              <w:jc w:val="center"/>
            </w:pPr>
          </w:p>
        </w:tc>
      </w:tr>
      <w:tr w:rsidR="00AB5CE0" w14:paraId="2377C83B" w14:textId="77777777" w:rsidTr="00EA1BB7">
        <w:tc>
          <w:tcPr>
            <w:tcW w:w="2082" w:type="dxa"/>
            <w:vAlign w:val="center"/>
          </w:tcPr>
          <w:p w14:paraId="261DA3F0" w14:textId="77777777" w:rsidR="00AB5CE0" w:rsidRDefault="00AB5CE0" w:rsidP="0029604A">
            <w:r>
              <w:t>Budget: Phase 1</w:t>
            </w:r>
          </w:p>
        </w:tc>
        <w:tc>
          <w:tcPr>
            <w:tcW w:w="6935" w:type="dxa"/>
            <w:gridSpan w:val="9"/>
            <w:vAlign w:val="center"/>
          </w:tcPr>
          <w:p w14:paraId="5A26F452" w14:textId="3F551BB4" w:rsidR="00AB5CE0" w:rsidRDefault="008A611D" w:rsidP="00661259">
            <w:r>
              <w:t>US$ 61,700</w:t>
            </w:r>
            <w:r w:rsidR="00EB18C9">
              <w:t xml:space="preserve"> </w:t>
            </w:r>
            <w:r w:rsidR="00661259">
              <w:t>under the BIOFIN project</w:t>
            </w:r>
          </w:p>
        </w:tc>
      </w:tr>
      <w:tr w:rsidR="00AB5CE0" w14:paraId="4B8F6B5E" w14:textId="77777777" w:rsidTr="00EA1BB7">
        <w:tc>
          <w:tcPr>
            <w:tcW w:w="2082" w:type="dxa"/>
            <w:vAlign w:val="center"/>
          </w:tcPr>
          <w:p w14:paraId="45493C20" w14:textId="77777777" w:rsidR="00AB5CE0" w:rsidRPr="003C1D59" w:rsidRDefault="00AB5CE0" w:rsidP="00AB5CE0">
            <w:r>
              <w:t>Budget: Phase 2</w:t>
            </w:r>
          </w:p>
        </w:tc>
        <w:tc>
          <w:tcPr>
            <w:tcW w:w="6935" w:type="dxa"/>
            <w:gridSpan w:val="9"/>
            <w:vAlign w:val="center"/>
          </w:tcPr>
          <w:p w14:paraId="25947669" w14:textId="3F14A839" w:rsidR="00AB5CE0" w:rsidRDefault="00EA7989" w:rsidP="00E46F8D">
            <w:r>
              <w:t xml:space="preserve">US$ </w:t>
            </w:r>
            <w:proofErr w:type="gramStart"/>
            <w:r>
              <w:t xml:space="preserve">58,300 </w:t>
            </w:r>
            <w:r w:rsidR="00661259">
              <w:t xml:space="preserve"> under</w:t>
            </w:r>
            <w:proofErr w:type="gramEnd"/>
            <w:r w:rsidR="00661259">
              <w:t xml:space="preserve"> the government initiatives</w:t>
            </w:r>
          </w:p>
        </w:tc>
      </w:tr>
      <w:tr w:rsidR="00AB5CE0" w14:paraId="2B5BA413" w14:textId="77777777" w:rsidTr="00EA1BB7">
        <w:tc>
          <w:tcPr>
            <w:tcW w:w="2082" w:type="dxa"/>
            <w:vAlign w:val="center"/>
          </w:tcPr>
          <w:p w14:paraId="5816CB17" w14:textId="77777777" w:rsidR="00AB5CE0" w:rsidRPr="003C1D59" w:rsidRDefault="00AB5CE0" w:rsidP="0029604A">
            <w:r>
              <w:t>Financial result</w:t>
            </w:r>
          </w:p>
        </w:tc>
        <w:tc>
          <w:tcPr>
            <w:tcW w:w="6935" w:type="dxa"/>
            <w:gridSpan w:val="9"/>
            <w:vAlign w:val="center"/>
          </w:tcPr>
          <w:p w14:paraId="3FD39374" w14:textId="77777777" w:rsidR="00661259" w:rsidRDefault="00853CBF" w:rsidP="00661259">
            <w:r>
              <w:t>US$</w:t>
            </w:r>
            <w:r w:rsidR="00A755FD">
              <w:t xml:space="preserve"> </w:t>
            </w:r>
            <w:r w:rsidR="00EB18C9">
              <w:t>45</w:t>
            </w:r>
            <w:r w:rsidR="00A755FD">
              <w:t xml:space="preserve"> million </w:t>
            </w:r>
            <w:r>
              <w:t>in Phase 1</w:t>
            </w:r>
            <w:r w:rsidR="00CA6A23">
              <w:t xml:space="preserve"> </w:t>
            </w:r>
          </w:p>
          <w:p w14:paraId="50035834" w14:textId="6C95CB62" w:rsidR="00853CBF" w:rsidRDefault="00853CBF" w:rsidP="00661259">
            <w:r>
              <w:t xml:space="preserve">US$ </w:t>
            </w:r>
            <w:r w:rsidR="00EB18C9">
              <w:t>33</w:t>
            </w:r>
            <w:r>
              <w:t xml:space="preserve"> million in Phase 2</w:t>
            </w:r>
            <w:r w:rsidR="002900AC">
              <w:t xml:space="preserve"> </w:t>
            </w:r>
          </w:p>
        </w:tc>
      </w:tr>
    </w:tbl>
    <w:p w14:paraId="50F233FB" w14:textId="761BDB4E" w:rsidR="00597E5D" w:rsidRDefault="00597E5D" w:rsidP="00BB5D98">
      <w:pPr>
        <w:jc w:val="both"/>
      </w:pPr>
    </w:p>
    <w:p w14:paraId="6FCB68FF" w14:textId="76AC4B2E" w:rsidR="00FB4E23" w:rsidRDefault="00FB4E23" w:rsidP="00BB5D98">
      <w:pPr>
        <w:jc w:val="both"/>
      </w:pPr>
    </w:p>
    <w:p w14:paraId="56C55375" w14:textId="77777777" w:rsidR="00470DAA" w:rsidRDefault="00470DAA" w:rsidP="00BB5D98">
      <w:pPr>
        <w:jc w:val="both"/>
      </w:pPr>
    </w:p>
    <w:p w14:paraId="6987E596" w14:textId="77777777" w:rsidR="00AA67D9" w:rsidRDefault="00AA67D9" w:rsidP="00096769">
      <w:pPr>
        <w:pStyle w:val="Heading4"/>
      </w:pPr>
      <w:r>
        <w:t>2. Eco-labels</w:t>
      </w:r>
      <w:r w:rsidR="00DE2221">
        <w:t xml:space="preserve">: </w:t>
      </w:r>
      <w:r w:rsidR="000E08E4">
        <w:t xml:space="preserve">Eco Label for products with certified sustainable standards </w:t>
      </w:r>
    </w:p>
    <w:p w14:paraId="1D7F9B83" w14:textId="4396A81B" w:rsidR="00AA67D9" w:rsidRDefault="00DE2221" w:rsidP="00BB5D98">
      <w:pPr>
        <w:jc w:val="both"/>
      </w:pPr>
      <w:r>
        <w:t>The finance solution is to introduce a</w:t>
      </w:r>
      <w:r w:rsidR="00D778D8">
        <w:t>n</w:t>
      </w:r>
      <w:r w:rsidRPr="00DE2221">
        <w:t xml:space="preserve"> </w:t>
      </w:r>
      <w:r w:rsidR="000418BC" w:rsidRPr="00DE2221">
        <w:t>eco-labeling</w:t>
      </w:r>
      <w:r w:rsidRPr="00DE2221">
        <w:t xml:space="preserve"> </w:t>
      </w:r>
      <w:r>
        <w:t xml:space="preserve">scheme </w:t>
      </w:r>
      <w:r w:rsidRPr="00DE2221">
        <w:t xml:space="preserve">for </w:t>
      </w:r>
      <w:r w:rsidR="00D778D8">
        <w:t xml:space="preserve">the </w:t>
      </w:r>
      <w:r w:rsidR="003075EB">
        <w:t xml:space="preserve">agriculture sector and food and beverages industry </w:t>
      </w:r>
      <w:r w:rsidRPr="00DE2221">
        <w:t>with certified ecological, environmental and social standards</w:t>
      </w:r>
      <w:r w:rsidR="007A5EB9" w:rsidRPr="000418BC">
        <w:t>.</w:t>
      </w:r>
      <w:r w:rsidR="000418BC" w:rsidRPr="000418BC">
        <w:t xml:space="preserve"> The solution also aims at addressing the harmful effects of unsustainable agricultural practices on both production and consumption.</w:t>
      </w:r>
    </w:p>
    <w:p w14:paraId="437DB945" w14:textId="77777777" w:rsidR="00C9441A" w:rsidRDefault="00C9441A" w:rsidP="00BB5D98">
      <w:pPr>
        <w:jc w:val="both"/>
      </w:pPr>
      <w:r>
        <w:t>Objective</w:t>
      </w:r>
    </w:p>
    <w:p w14:paraId="49396D40" w14:textId="7DCDF0AF" w:rsidR="00C9441A" w:rsidRDefault="00C9441A" w:rsidP="00BB5D98">
      <w:pPr>
        <w:jc w:val="both"/>
      </w:pPr>
      <w:r w:rsidRPr="00C9441A">
        <w:t xml:space="preserve">To encourage production and consumption </w:t>
      </w:r>
      <w:r w:rsidR="003075EB">
        <w:t>practices</w:t>
      </w:r>
      <w:r w:rsidRPr="00C9441A">
        <w:t xml:space="preserve"> according to the norms and standards that would promote conservation and sustainable use of biodiversity.</w:t>
      </w:r>
    </w:p>
    <w:p w14:paraId="7B2E6150" w14:textId="77777777" w:rsidR="00CD4D96" w:rsidRDefault="00CD4D96" w:rsidP="00BB5D98">
      <w:pPr>
        <w:jc w:val="both"/>
      </w:pPr>
      <w:r>
        <w:t>Description</w:t>
      </w:r>
    </w:p>
    <w:p w14:paraId="3D582D01" w14:textId="2FC7868A" w:rsidR="00DE2221" w:rsidRDefault="00C55D66" w:rsidP="00BB5D98">
      <w:pPr>
        <w:jc w:val="both"/>
      </w:pPr>
      <w:r>
        <w:t>Eco-labeling is one of the influential means of promoting sustainable consumption and production patterns</w:t>
      </w:r>
      <w:r w:rsidR="00080484">
        <w:rPr>
          <w:rStyle w:val="FootnoteReference"/>
        </w:rPr>
        <w:footnoteReference w:id="1"/>
      </w:r>
      <w:r>
        <w:t>.</w:t>
      </w:r>
      <w:r w:rsidR="00570939">
        <w:t xml:space="preserve"> It is widely known that both consumption and production can deviate significantly from the accepted </w:t>
      </w:r>
      <w:r w:rsidR="007669CF">
        <w:t>sustainable norms and standards creating negative impact on the planet and the people. An eco-label is designed to identify the respective good or a service which has proven sustainable standards.</w:t>
      </w:r>
    </w:p>
    <w:p w14:paraId="1E629C8E" w14:textId="41DA0E22" w:rsidR="00F3475D" w:rsidRDefault="008F4221" w:rsidP="00F3475D">
      <w:pPr>
        <w:jc w:val="both"/>
      </w:pPr>
      <w:r>
        <w:t xml:space="preserve">There is no national eco-label system implemented in Sri Lanka, although there are a number of initiatives </w:t>
      </w:r>
      <w:r w:rsidR="00E2387E">
        <w:t>some of which are</w:t>
      </w:r>
      <w:r>
        <w:t xml:space="preserve"> sector-</w:t>
      </w:r>
      <w:proofErr w:type="gramStart"/>
      <w:r>
        <w:t>specific</w:t>
      </w:r>
      <w:proofErr w:type="gramEnd"/>
      <w:r>
        <w:t xml:space="preserve"> and some are individual attempts to comply with international eco-labels. Examples include </w:t>
      </w:r>
      <w:r w:rsidRPr="008F4221">
        <w:t xml:space="preserve">the Cleaner &amp; Greener </w:t>
      </w:r>
      <w:proofErr w:type="spellStart"/>
      <w:r w:rsidRPr="008F4221">
        <w:t>program</w:t>
      </w:r>
      <w:r>
        <w:t>me</w:t>
      </w:r>
      <w:proofErr w:type="spellEnd"/>
      <w:r w:rsidRPr="008F4221">
        <w:t xml:space="preserve"> which promotes the reporting and offsetting of emissions by companies, organizations, buildings, events and transportation fleets; Earth check and Green Globe Standard for travel and tourism, The Forest Stewardship Coun</w:t>
      </w:r>
      <w:r>
        <w:t>cil, t</w:t>
      </w:r>
      <w:r w:rsidRPr="008F4221">
        <w:t xml:space="preserve">he </w:t>
      </w:r>
      <w:proofErr w:type="spellStart"/>
      <w:r w:rsidRPr="008F4221">
        <w:t>Programme</w:t>
      </w:r>
      <w:proofErr w:type="spellEnd"/>
      <w:r w:rsidRPr="008F4221">
        <w:t xml:space="preserve"> for the Endorsement of Forest Certification (PEFC), Global Organic Textile Standard (GOTS), </w:t>
      </w:r>
      <w:proofErr w:type="spellStart"/>
      <w:r w:rsidRPr="008F4221">
        <w:t>Naturland</w:t>
      </w:r>
      <w:proofErr w:type="spellEnd"/>
      <w:r w:rsidRPr="008F4221">
        <w:t xml:space="preserve"> Association for Organi</w:t>
      </w:r>
      <w:r>
        <w:t>c Agriculture, the Sustainable F</w:t>
      </w:r>
      <w:r w:rsidRPr="008F4221">
        <w:t>urnishing Council for home furnishing, Fairtrade, The GREENSL labelling system of Green Building Council Sri Lanka (GBCSL</w:t>
      </w:r>
      <w:r w:rsidR="00190724">
        <w:t>)</w:t>
      </w:r>
      <w:r w:rsidRPr="008F4221">
        <w:t>.</w:t>
      </w:r>
      <w:r w:rsidR="007868F7">
        <w:t xml:space="preserve"> Previous</w:t>
      </w:r>
      <w:r w:rsidR="00F3475D">
        <w:t xml:space="preserve"> initiatives </w:t>
      </w:r>
      <w:proofErr w:type="gramStart"/>
      <w:r w:rsidR="00F3475D">
        <w:t>includes</w:t>
      </w:r>
      <w:proofErr w:type="gramEnd"/>
      <w:r w:rsidR="00F3475D">
        <w:t xml:space="preserve"> the SWITCH-Asia Project </w:t>
      </w:r>
      <w:r w:rsidR="00F3475D" w:rsidRPr="00B52231">
        <w:t>funded by the European Union</w:t>
      </w:r>
      <w:r w:rsidR="00F3475D">
        <w:t xml:space="preserve"> which,</w:t>
      </w:r>
      <w:r w:rsidR="00F3475D" w:rsidRPr="00B52231">
        <w:t xml:space="preserve"> </w:t>
      </w:r>
      <w:r w:rsidR="00F3475D">
        <w:t xml:space="preserve">together with the MMDE aimed at </w:t>
      </w:r>
      <w:r w:rsidR="00F3475D" w:rsidRPr="00B52231">
        <w:t>selecting, adapting and implementing suitable economic and regulatory policy instruments to promote sustainable consumption policies</w:t>
      </w:r>
      <w:r w:rsidR="00F3475D">
        <w:t xml:space="preserve"> through </w:t>
      </w:r>
      <w:r w:rsidR="00F3475D" w:rsidRPr="00B52231">
        <w:t>an eco-labelling platform in Sri Lanka</w:t>
      </w:r>
      <w:r w:rsidR="00F3475D">
        <w:t xml:space="preserve"> </w:t>
      </w:r>
      <w:r w:rsidR="00F3475D">
        <w:rPr>
          <w:rFonts w:cstheme="minorHAnsi"/>
        </w:rPr>
        <w:t>including small and medium scale enterprises in the food and beverage sector</w:t>
      </w:r>
      <w:r w:rsidR="00F3475D" w:rsidRPr="00B52231">
        <w:t>.</w:t>
      </w:r>
    </w:p>
    <w:p w14:paraId="3D618B07" w14:textId="34D8F75F" w:rsidR="0014638B" w:rsidRDefault="00B0382B" w:rsidP="00BB5D98">
      <w:pPr>
        <w:jc w:val="both"/>
      </w:pPr>
      <w:r>
        <w:t>Sri Lanka</w:t>
      </w:r>
      <w:r w:rsidR="001916F8">
        <w:t>n government has</w:t>
      </w:r>
      <w:r>
        <w:t xml:space="preserve"> endorsed the Ten Year </w:t>
      </w:r>
      <w:proofErr w:type="spellStart"/>
      <w:r>
        <w:t>Programme</w:t>
      </w:r>
      <w:proofErr w:type="spellEnd"/>
      <w:r>
        <w:t xml:space="preserve"> on </w:t>
      </w:r>
      <w:r w:rsidRPr="00B0382B">
        <w:t>Sustainable Consumption and Production (SCP)</w:t>
      </w:r>
      <w:r w:rsidR="001916F8">
        <w:t xml:space="preserve"> and initiated the development of</w:t>
      </w:r>
      <w:r w:rsidR="00985C02">
        <w:t xml:space="preserve"> </w:t>
      </w:r>
      <w:r w:rsidR="00985C02" w:rsidRPr="00F56D8A">
        <w:t>“National Eco Labeling Platform”</w:t>
      </w:r>
      <w:r w:rsidR="001916F8">
        <w:t xml:space="preserve"> </w:t>
      </w:r>
      <w:r w:rsidR="00985C02">
        <w:t>at the Ministry of Mahaweli Development and Environment</w:t>
      </w:r>
      <w:r w:rsidR="00190724">
        <w:t xml:space="preserve"> (MMDE)</w:t>
      </w:r>
      <w:r w:rsidR="00985C02">
        <w:t xml:space="preserve">. </w:t>
      </w:r>
      <w:r w:rsidR="00B52231">
        <w:t xml:space="preserve">The </w:t>
      </w:r>
      <w:r w:rsidR="00B52231" w:rsidRPr="00B52231">
        <w:t>SCP is defined as a holistic approach to minimize the negative environmental impacts from consumption and production systems</w:t>
      </w:r>
      <w:r w:rsidR="00B52231">
        <w:t>.</w:t>
      </w:r>
    </w:p>
    <w:p w14:paraId="70B6B40C" w14:textId="0296D015" w:rsidR="00CF0A47" w:rsidRDefault="002A2204" w:rsidP="00BB5D98">
      <w:pPr>
        <w:jc w:val="both"/>
      </w:pPr>
      <w:r>
        <w:t>As the Ministry has already completed the development of policy guidelines for eco labeling and undertaken the c</w:t>
      </w:r>
      <w:r w:rsidR="007A5EB9">
        <w:t xml:space="preserve">apacity development activities, mechanisms are being established to apply eco-labeling for selected three major sectors: </w:t>
      </w:r>
      <w:r w:rsidR="007A5EB9" w:rsidRPr="0061602E">
        <w:rPr>
          <w:b/>
        </w:rPr>
        <w:t>tea, rice, dairy products</w:t>
      </w:r>
      <w:r w:rsidR="007A5EB9">
        <w:t>. Given this background, there</w:t>
      </w:r>
      <w:r w:rsidR="00985C02">
        <w:t xml:space="preserve"> is </w:t>
      </w:r>
      <w:r>
        <w:t xml:space="preserve">now </w:t>
      </w:r>
      <w:r w:rsidR="00985C02">
        <w:t>an opportunity for BIOFIN to provide a finance solution in supporting the “design and implement</w:t>
      </w:r>
      <w:r w:rsidR="0072052E">
        <w:t>ation of</w:t>
      </w:r>
      <w:r w:rsidR="00985C02">
        <w:t xml:space="preserve"> </w:t>
      </w:r>
      <w:r>
        <w:t>an</w:t>
      </w:r>
      <w:r w:rsidR="00985C02">
        <w:t xml:space="preserve"> </w:t>
      </w:r>
      <w:r w:rsidR="0013323F">
        <w:t>eco-labeling</w:t>
      </w:r>
      <w:r w:rsidR="00985C02">
        <w:t xml:space="preserve"> system”</w:t>
      </w:r>
      <w:r w:rsidR="007A5EB9">
        <w:t xml:space="preserve"> to cover a wide range of products</w:t>
      </w:r>
      <w:r w:rsidR="0072052E">
        <w:t xml:space="preserve"> in the food and beverage sectors</w:t>
      </w:r>
      <w:r w:rsidR="007A5EB9">
        <w:t>.</w:t>
      </w:r>
    </w:p>
    <w:p w14:paraId="2C26160A" w14:textId="7B8912F5" w:rsidR="0013323F" w:rsidRDefault="0013323F" w:rsidP="00BB5D98">
      <w:pPr>
        <w:jc w:val="both"/>
      </w:pPr>
      <w:r>
        <w:t>The objective of the proposed finance solution is to</w:t>
      </w:r>
      <w:r w:rsidR="00AC2764">
        <w:t xml:space="preserve"> encourage production and consumption of goods and services </w:t>
      </w:r>
      <w:r w:rsidR="000548AB">
        <w:t>according to the norms and standards that would promote conservation and sustainable use of biodiversity and ecosystems services. The proposal is to</w:t>
      </w:r>
      <w:r>
        <w:t xml:space="preserve"> provide technical and financial support to design and implement an eco-labeling scheme with an appropriate regulatory and institutional mechanism for promoting the delivery of eco-labelled goods and services.</w:t>
      </w:r>
      <w:r w:rsidR="00B52231">
        <w:t xml:space="preserve"> At operational levels, the finance solution is aimed at supporting the </w:t>
      </w:r>
      <w:r w:rsidR="00851E50">
        <w:t xml:space="preserve">establishment of the </w:t>
      </w:r>
      <w:r w:rsidR="00B52231">
        <w:t>SCP mechanism that the Ministry has already developed under the SWITCH-Asia project.</w:t>
      </w:r>
    </w:p>
    <w:p w14:paraId="4C2843D7" w14:textId="77777777" w:rsidR="00CD4D96" w:rsidRDefault="00CD4D96" w:rsidP="00CD4D96">
      <w:pPr>
        <w:jc w:val="both"/>
      </w:pPr>
      <w:r>
        <w:t>Business case</w:t>
      </w:r>
    </w:p>
    <w:p w14:paraId="2D5BCE27" w14:textId="36D32F74" w:rsidR="003075EB" w:rsidRDefault="003075EB" w:rsidP="00CD4D96">
      <w:pPr>
        <w:jc w:val="both"/>
      </w:pPr>
      <w:r w:rsidRPr="003075EB">
        <w:t>The selected sectors are the food and beverages industry. While the proposed solution is important in promoting healthier food consumption practices, it is expected to improve sustainable use of resources, waste management practices, energy-saving and alternative energy uses, reduction in land degradation, adaptation of green technologies, and sustainable production practices.</w:t>
      </w:r>
    </w:p>
    <w:p w14:paraId="3FBF7083" w14:textId="77777777" w:rsidR="00CD4D96" w:rsidRDefault="00CD4D96" w:rsidP="00CD4D96">
      <w:pPr>
        <w:jc w:val="both"/>
      </w:pPr>
      <w:r>
        <w:t xml:space="preserve">The eco label is expected to provide competitive edge in the national and international markets to the goods and services that carry the label. This will improve the business performance of such production activities which would be of importance for the success of the scheme. At the same time the scheme will enable the country to achieve its national objectives of conservation and sustainable use of biodiversity objectives with private investment in maintaining SCP standards. </w:t>
      </w:r>
    </w:p>
    <w:p w14:paraId="3824FE59" w14:textId="29578ADD" w:rsidR="00077A29" w:rsidRDefault="005E1684" w:rsidP="00CD4D96">
      <w:pPr>
        <w:jc w:val="both"/>
      </w:pPr>
      <w:r>
        <w:t>The finance solution is expected to contribute especially to the achievement of NBSAP target 6 by ensuring</w:t>
      </w:r>
      <w:r w:rsidRPr="005E1684">
        <w:t xml:space="preserve"> </w:t>
      </w:r>
      <w:r>
        <w:t xml:space="preserve">the </w:t>
      </w:r>
      <w:r w:rsidRPr="005E1684">
        <w:t>sustainable use of biodiversity</w:t>
      </w:r>
      <w:r>
        <w:t xml:space="preserve"> and, target 8 by promoting </w:t>
      </w:r>
      <w:r w:rsidRPr="005E1684">
        <w:t>sustainable agriculture practices</w:t>
      </w:r>
      <w:r>
        <w:t>.</w:t>
      </w:r>
    </w:p>
    <w:p w14:paraId="2E4C3087" w14:textId="77777777" w:rsidR="00CD4D96" w:rsidRDefault="00CD4D96" w:rsidP="00BB5D98">
      <w:pPr>
        <w:jc w:val="both"/>
      </w:pPr>
      <w:r>
        <w:t>Responsibility</w:t>
      </w:r>
    </w:p>
    <w:p w14:paraId="3BEE63D7" w14:textId="46B77A12" w:rsidR="00386D26" w:rsidRDefault="00386D26" w:rsidP="00502379">
      <w:pPr>
        <w:jc w:val="both"/>
      </w:pPr>
      <w:r>
        <w:t xml:space="preserve">The scheme is </w:t>
      </w:r>
      <w:r w:rsidR="00DE2221">
        <w:t xml:space="preserve">for </w:t>
      </w:r>
      <w:r>
        <w:t>“</w:t>
      </w:r>
      <w:r w:rsidR="00DE2221">
        <w:t>better delivery</w:t>
      </w:r>
      <w:r>
        <w:t>” of goods and services produced under the sustainable norms and standards based on a set of criteria.</w:t>
      </w:r>
      <w:r w:rsidR="00F6397C">
        <w:t xml:space="preserve"> </w:t>
      </w:r>
      <w:r w:rsidR="00F3475D">
        <w:t>The</w:t>
      </w:r>
      <w:r w:rsidR="00F6397C">
        <w:t xml:space="preserve"> leading role for designing the eco-labeling scheme is undertaken by the Ministry of Mahaweli Development and Environment </w:t>
      </w:r>
      <w:r w:rsidR="00F3475D">
        <w:t>in</w:t>
      </w:r>
      <w:r w:rsidR="00F6397C">
        <w:t xml:space="preserve"> </w:t>
      </w:r>
      <w:proofErr w:type="gramStart"/>
      <w:r w:rsidR="00F6397C">
        <w:t>collaborat</w:t>
      </w:r>
      <w:r w:rsidR="00F3475D">
        <w:t xml:space="preserve">ion </w:t>
      </w:r>
      <w:r w:rsidR="00F6397C">
        <w:t xml:space="preserve"> with</w:t>
      </w:r>
      <w:proofErr w:type="gramEnd"/>
      <w:r w:rsidR="00F6397C">
        <w:t xml:space="preserve"> a number of other stakeholders</w:t>
      </w:r>
      <w:r w:rsidR="00502379">
        <w:t xml:space="preserve"> such as National Cleaner Production Centre, Sri Lanka Sustainable Energy Authority, Central Environment Authority, Sri Lanka Accreditation Board, National Productivity Centre and Sri Lanka Standards Institution</w:t>
      </w:r>
      <w:r w:rsidR="00F6397C">
        <w:t>.</w:t>
      </w:r>
    </w:p>
    <w:p w14:paraId="48B1DB57" w14:textId="1F4BE42F" w:rsidR="00851E50" w:rsidRDefault="00851E50" w:rsidP="00F6397C">
      <w:pPr>
        <w:jc w:val="both"/>
      </w:pPr>
      <w:r>
        <w:t>Financial result</w:t>
      </w:r>
    </w:p>
    <w:p w14:paraId="0A17EA17" w14:textId="07D2D23E" w:rsidR="00103037" w:rsidRDefault="005055F2" w:rsidP="00F6397C">
      <w:pPr>
        <w:jc w:val="both"/>
      </w:pPr>
      <w:r w:rsidRPr="005055F2">
        <w:t>A sustainable consumption and production (SCP) mechanism is expected to bring about continuous private investment to deliver “better output” in both goods and services. During the plan</w:t>
      </w:r>
      <w:r w:rsidR="00F3475D">
        <w:t>ning</w:t>
      </w:r>
      <w:r w:rsidRPr="005055F2">
        <w:t xml:space="preserve"> period ending 2024, it is expected to cover minimum</w:t>
      </w:r>
      <w:r w:rsidR="0037083C">
        <w:t xml:space="preserve"> </w:t>
      </w:r>
      <w:r w:rsidRPr="005055F2">
        <w:t xml:space="preserve">food and beverage </w:t>
      </w:r>
      <w:r w:rsidR="00103037">
        <w:t>industry which will deliver food and drinks with eco-labels.</w:t>
      </w:r>
    </w:p>
    <w:p w14:paraId="2842A1F4" w14:textId="0B5ECF26" w:rsidR="00851E50" w:rsidRDefault="00103037" w:rsidP="00F6397C">
      <w:pPr>
        <w:jc w:val="both"/>
      </w:pPr>
      <w:r>
        <w:t xml:space="preserve">There are 4268 business units in the food and beverages sector, which is about one-fifth of the all industrial units with more than five persons engaged in, according to the </w:t>
      </w:r>
      <w:r w:rsidRPr="00103037">
        <w:rPr>
          <w:i/>
        </w:rPr>
        <w:t>Annual Survey of Industries 2016</w:t>
      </w:r>
      <w:r>
        <w:t xml:space="preserve"> by the Department of Census and Statistics. They contribute to over 30 percent of industrial output of the country and, generated </w:t>
      </w:r>
      <w:r w:rsidR="00FE0304">
        <w:t>LKR 32 billion annual fixed investment. A mere 1 percent increase in additional investment on average in order to qualify for a relevant eco-label</w:t>
      </w:r>
      <w:r>
        <w:t>,</w:t>
      </w:r>
      <w:r w:rsidR="00FE0304">
        <w:t xml:space="preserve"> will generate </w:t>
      </w:r>
      <w:r>
        <w:t xml:space="preserve">  </w:t>
      </w:r>
      <w:r w:rsidR="005055F2" w:rsidRPr="005055F2">
        <w:t xml:space="preserve"> </w:t>
      </w:r>
      <w:r w:rsidR="00FE0304">
        <w:t>over LKR 1.8 billion a during a period of five years,</w:t>
      </w:r>
      <w:r w:rsidR="00D35EAA">
        <w:t xml:space="preserve"> which is equivalent to US$ 10 m</w:t>
      </w:r>
      <w:r w:rsidR="00FE0304">
        <w:t xml:space="preserve">illion. </w:t>
      </w:r>
      <w:r w:rsidR="00F14AE8">
        <w:t xml:space="preserve">This </w:t>
      </w:r>
      <w:r w:rsidR="009452CB">
        <w:t>investment is the value of finances mobilized for delivering</w:t>
      </w:r>
      <w:r w:rsidR="00F14AE8">
        <w:t xml:space="preserve"> a “better output” which has a positive impact on biodiversity. </w:t>
      </w:r>
    </w:p>
    <w:p w14:paraId="4378FCCE" w14:textId="77777777" w:rsidR="00CD4D96" w:rsidRDefault="00CD4D96" w:rsidP="00F6397C">
      <w:pPr>
        <w:jc w:val="both"/>
      </w:pPr>
      <w:r>
        <w:t>Action plan</w:t>
      </w:r>
    </w:p>
    <w:tbl>
      <w:tblPr>
        <w:tblStyle w:val="TableGrid"/>
        <w:tblW w:w="0" w:type="auto"/>
        <w:tblLook w:val="04A0" w:firstRow="1" w:lastRow="0" w:firstColumn="1" w:lastColumn="0" w:noHBand="0" w:noVBand="1"/>
      </w:tblPr>
      <w:tblGrid>
        <w:gridCol w:w="2014"/>
        <w:gridCol w:w="2039"/>
        <w:gridCol w:w="1506"/>
        <w:gridCol w:w="494"/>
        <w:gridCol w:w="494"/>
        <w:gridCol w:w="494"/>
        <w:gridCol w:w="494"/>
        <w:gridCol w:w="494"/>
        <w:gridCol w:w="494"/>
        <w:gridCol w:w="494"/>
      </w:tblGrid>
      <w:tr w:rsidR="00DA15EA" w14:paraId="6CC09E33" w14:textId="77777777" w:rsidTr="00DA15EA">
        <w:tc>
          <w:tcPr>
            <w:tcW w:w="2014" w:type="dxa"/>
            <w:vMerge w:val="restart"/>
            <w:vAlign w:val="center"/>
          </w:tcPr>
          <w:p w14:paraId="1387528A" w14:textId="77777777" w:rsidR="00F56D8A" w:rsidRPr="00C27851" w:rsidRDefault="00F56D8A" w:rsidP="00E96139">
            <w:pPr>
              <w:jc w:val="center"/>
            </w:pPr>
            <w:r w:rsidRPr="00C27851">
              <w:t>Output</w:t>
            </w:r>
          </w:p>
        </w:tc>
        <w:tc>
          <w:tcPr>
            <w:tcW w:w="2039" w:type="dxa"/>
            <w:vMerge w:val="restart"/>
            <w:vAlign w:val="center"/>
          </w:tcPr>
          <w:p w14:paraId="49763A98" w14:textId="77777777" w:rsidR="00F56D8A" w:rsidRPr="00C27851" w:rsidRDefault="00F56D8A" w:rsidP="00E96139">
            <w:pPr>
              <w:jc w:val="center"/>
            </w:pPr>
            <w:r w:rsidRPr="00C27851">
              <w:t>Main activities</w:t>
            </w:r>
          </w:p>
        </w:tc>
        <w:tc>
          <w:tcPr>
            <w:tcW w:w="1506" w:type="dxa"/>
            <w:vMerge w:val="restart"/>
            <w:vAlign w:val="center"/>
          </w:tcPr>
          <w:p w14:paraId="57B2B77A" w14:textId="77777777" w:rsidR="00F56D8A" w:rsidRPr="00C27851" w:rsidRDefault="00F56D8A" w:rsidP="00E96139">
            <w:pPr>
              <w:jc w:val="center"/>
            </w:pPr>
            <w:r w:rsidRPr="00C27851">
              <w:t>Responsibility</w:t>
            </w:r>
          </w:p>
        </w:tc>
        <w:tc>
          <w:tcPr>
            <w:tcW w:w="3458" w:type="dxa"/>
            <w:gridSpan w:val="7"/>
            <w:vAlign w:val="center"/>
          </w:tcPr>
          <w:p w14:paraId="7E35B07D" w14:textId="77777777" w:rsidR="00F56D8A" w:rsidRPr="00C27851" w:rsidRDefault="00F56D8A" w:rsidP="00E96139">
            <w:pPr>
              <w:jc w:val="center"/>
            </w:pPr>
            <w:r w:rsidRPr="00C27851">
              <w:t>Year</w:t>
            </w:r>
          </w:p>
        </w:tc>
      </w:tr>
      <w:tr w:rsidR="00F56D8A" w14:paraId="1F782B90" w14:textId="77777777" w:rsidTr="00DA15EA">
        <w:tc>
          <w:tcPr>
            <w:tcW w:w="2014" w:type="dxa"/>
            <w:vMerge/>
            <w:vAlign w:val="center"/>
          </w:tcPr>
          <w:p w14:paraId="3481EEDB" w14:textId="77777777" w:rsidR="00F56D8A" w:rsidRDefault="00F56D8A" w:rsidP="00E96139">
            <w:pPr>
              <w:jc w:val="center"/>
            </w:pPr>
          </w:p>
        </w:tc>
        <w:tc>
          <w:tcPr>
            <w:tcW w:w="2039" w:type="dxa"/>
            <w:vMerge/>
            <w:vAlign w:val="center"/>
          </w:tcPr>
          <w:p w14:paraId="77B529C9" w14:textId="77777777" w:rsidR="00F56D8A" w:rsidRDefault="00F56D8A" w:rsidP="00E96139">
            <w:pPr>
              <w:jc w:val="center"/>
            </w:pPr>
          </w:p>
        </w:tc>
        <w:tc>
          <w:tcPr>
            <w:tcW w:w="1506" w:type="dxa"/>
            <w:vMerge/>
            <w:vAlign w:val="center"/>
          </w:tcPr>
          <w:p w14:paraId="7C11093D" w14:textId="77777777" w:rsidR="00F56D8A" w:rsidRDefault="00F56D8A" w:rsidP="00E96139">
            <w:pPr>
              <w:jc w:val="center"/>
            </w:pPr>
          </w:p>
        </w:tc>
        <w:tc>
          <w:tcPr>
            <w:tcW w:w="494" w:type="dxa"/>
            <w:vAlign w:val="center"/>
          </w:tcPr>
          <w:p w14:paraId="349C67DD" w14:textId="77777777" w:rsidR="00F56D8A" w:rsidRDefault="00F56D8A" w:rsidP="00E96139">
            <w:pPr>
              <w:jc w:val="center"/>
            </w:pPr>
            <w:r w:rsidRPr="00C27851">
              <w:t>‘18</w:t>
            </w:r>
          </w:p>
        </w:tc>
        <w:tc>
          <w:tcPr>
            <w:tcW w:w="494" w:type="dxa"/>
            <w:vAlign w:val="center"/>
          </w:tcPr>
          <w:p w14:paraId="6F49691E" w14:textId="77777777" w:rsidR="00F56D8A" w:rsidRDefault="00F56D8A" w:rsidP="00E96139">
            <w:pPr>
              <w:jc w:val="center"/>
            </w:pPr>
            <w:r w:rsidRPr="00C27851">
              <w:t>‘19</w:t>
            </w:r>
          </w:p>
        </w:tc>
        <w:tc>
          <w:tcPr>
            <w:tcW w:w="494" w:type="dxa"/>
            <w:vAlign w:val="center"/>
          </w:tcPr>
          <w:p w14:paraId="6E5289F3" w14:textId="77777777" w:rsidR="00F56D8A" w:rsidRDefault="00F56D8A" w:rsidP="00E96139">
            <w:pPr>
              <w:jc w:val="center"/>
            </w:pPr>
            <w:r w:rsidRPr="00C27851">
              <w:t>‘20</w:t>
            </w:r>
          </w:p>
        </w:tc>
        <w:tc>
          <w:tcPr>
            <w:tcW w:w="494" w:type="dxa"/>
            <w:vAlign w:val="center"/>
          </w:tcPr>
          <w:p w14:paraId="6F831866" w14:textId="77777777" w:rsidR="00F56D8A" w:rsidRDefault="00F56D8A" w:rsidP="00E96139">
            <w:pPr>
              <w:jc w:val="center"/>
            </w:pPr>
            <w:r w:rsidRPr="00C27851">
              <w:t>‘21</w:t>
            </w:r>
          </w:p>
        </w:tc>
        <w:tc>
          <w:tcPr>
            <w:tcW w:w="494" w:type="dxa"/>
            <w:vAlign w:val="center"/>
          </w:tcPr>
          <w:p w14:paraId="134BFB44" w14:textId="77777777" w:rsidR="00F56D8A" w:rsidRDefault="00F56D8A" w:rsidP="00E96139">
            <w:pPr>
              <w:jc w:val="center"/>
            </w:pPr>
            <w:r w:rsidRPr="00C27851">
              <w:t>‘22</w:t>
            </w:r>
          </w:p>
        </w:tc>
        <w:tc>
          <w:tcPr>
            <w:tcW w:w="494" w:type="dxa"/>
            <w:vAlign w:val="center"/>
          </w:tcPr>
          <w:p w14:paraId="64F31D11" w14:textId="77777777" w:rsidR="00F56D8A" w:rsidRDefault="00F56D8A" w:rsidP="00E96139">
            <w:pPr>
              <w:jc w:val="center"/>
            </w:pPr>
            <w:r w:rsidRPr="00C27851">
              <w:t>‘23</w:t>
            </w:r>
          </w:p>
        </w:tc>
        <w:tc>
          <w:tcPr>
            <w:tcW w:w="494" w:type="dxa"/>
            <w:vAlign w:val="center"/>
          </w:tcPr>
          <w:p w14:paraId="5DAF0C4F" w14:textId="77777777" w:rsidR="00F56D8A" w:rsidRDefault="00F56D8A" w:rsidP="00E96139">
            <w:pPr>
              <w:jc w:val="center"/>
            </w:pPr>
            <w:r w:rsidRPr="00C27851">
              <w:t>‘24</w:t>
            </w:r>
          </w:p>
        </w:tc>
      </w:tr>
      <w:tr w:rsidR="00AF3E47" w14:paraId="3901D490" w14:textId="77777777" w:rsidTr="00805A25">
        <w:tc>
          <w:tcPr>
            <w:tcW w:w="2014" w:type="dxa"/>
            <w:vMerge w:val="restart"/>
            <w:vAlign w:val="center"/>
          </w:tcPr>
          <w:p w14:paraId="59B4A06E" w14:textId="5C623E51" w:rsidR="00AF3E47" w:rsidRDefault="00AF3E47" w:rsidP="00805A25">
            <w:r>
              <w:t>Eco-label criteria</w:t>
            </w:r>
          </w:p>
        </w:tc>
        <w:tc>
          <w:tcPr>
            <w:tcW w:w="2039" w:type="dxa"/>
            <w:vAlign w:val="center"/>
          </w:tcPr>
          <w:p w14:paraId="017B8D8E" w14:textId="7BFAB55D" w:rsidR="00AF3E47" w:rsidRDefault="00AF3E47" w:rsidP="00805A25">
            <w:r>
              <w:t>Appointing technical and steering committees</w:t>
            </w:r>
          </w:p>
        </w:tc>
        <w:tc>
          <w:tcPr>
            <w:tcW w:w="1506" w:type="dxa"/>
            <w:vAlign w:val="center"/>
          </w:tcPr>
          <w:p w14:paraId="7BF24225" w14:textId="535BF544" w:rsidR="00AF3E47" w:rsidRDefault="00AF3E47" w:rsidP="00805A25">
            <w:r w:rsidRPr="00AF3E47">
              <w:t>MMDE</w:t>
            </w:r>
          </w:p>
        </w:tc>
        <w:tc>
          <w:tcPr>
            <w:tcW w:w="494" w:type="dxa"/>
            <w:shd w:val="clear" w:color="auto" w:fill="FFFFFF" w:themeFill="background1"/>
            <w:vAlign w:val="center"/>
          </w:tcPr>
          <w:p w14:paraId="17E0832D" w14:textId="77777777" w:rsidR="00AF3E47" w:rsidRDefault="00AF3E47" w:rsidP="00DA15EA"/>
        </w:tc>
        <w:tc>
          <w:tcPr>
            <w:tcW w:w="494" w:type="dxa"/>
            <w:shd w:val="clear" w:color="auto" w:fill="BFBFBF" w:themeFill="background1" w:themeFillShade="BF"/>
            <w:vAlign w:val="center"/>
          </w:tcPr>
          <w:p w14:paraId="1B150C6C" w14:textId="77777777" w:rsidR="00AF3E47" w:rsidRDefault="00AF3E47" w:rsidP="00DA15EA"/>
        </w:tc>
        <w:tc>
          <w:tcPr>
            <w:tcW w:w="494" w:type="dxa"/>
            <w:shd w:val="clear" w:color="auto" w:fill="BFBFBF" w:themeFill="background1" w:themeFillShade="BF"/>
            <w:vAlign w:val="center"/>
          </w:tcPr>
          <w:p w14:paraId="118A521F" w14:textId="77777777" w:rsidR="00AF3E47" w:rsidRDefault="00AF3E47" w:rsidP="00DA15EA"/>
        </w:tc>
        <w:tc>
          <w:tcPr>
            <w:tcW w:w="494" w:type="dxa"/>
            <w:vAlign w:val="center"/>
          </w:tcPr>
          <w:p w14:paraId="027D1C4C" w14:textId="77777777" w:rsidR="00AF3E47" w:rsidRDefault="00AF3E47" w:rsidP="00DA15EA"/>
        </w:tc>
        <w:tc>
          <w:tcPr>
            <w:tcW w:w="494" w:type="dxa"/>
            <w:vAlign w:val="center"/>
          </w:tcPr>
          <w:p w14:paraId="14B34975" w14:textId="77777777" w:rsidR="00AF3E47" w:rsidRDefault="00AF3E47" w:rsidP="00DA15EA"/>
        </w:tc>
        <w:tc>
          <w:tcPr>
            <w:tcW w:w="494" w:type="dxa"/>
            <w:vAlign w:val="center"/>
          </w:tcPr>
          <w:p w14:paraId="3D15C9AD" w14:textId="77777777" w:rsidR="00AF3E47" w:rsidRDefault="00AF3E47" w:rsidP="00DA15EA"/>
        </w:tc>
        <w:tc>
          <w:tcPr>
            <w:tcW w:w="494" w:type="dxa"/>
            <w:vAlign w:val="center"/>
          </w:tcPr>
          <w:p w14:paraId="07E6B6DC" w14:textId="77777777" w:rsidR="00AF3E47" w:rsidRDefault="00AF3E47" w:rsidP="00DA15EA"/>
        </w:tc>
      </w:tr>
      <w:tr w:rsidR="00AF3E47" w14:paraId="77B315F5" w14:textId="77777777" w:rsidTr="00805A25">
        <w:tc>
          <w:tcPr>
            <w:tcW w:w="2014" w:type="dxa"/>
            <w:vMerge/>
            <w:vAlign w:val="center"/>
          </w:tcPr>
          <w:p w14:paraId="731B7304" w14:textId="56A03D73" w:rsidR="00AF3E47" w:rsidRDefault="00AF3E47" w:rsidP="00805A25"/>
        </w:tc>
        <w:tc>
          <w:tcPr>
            <w:tcW w:w="2039" w:type="dxa"/>
            <w:vAlign w:val="center"/>
          </w:tcPr>
          <w:p w14:paraId="7F1846E0" w14:textId="77777777" w:rsidR="00AF3E47" w:rsidRDefault="00AF3E47" w:rsidP="00805A25">
            <w:r>
              <w:t>Developing criteria and regulatory reforms</w:t>
            </w:r>
          </w:p>
        </w:tc>
        <w:tc>
          <w:tcPr>
            <w:tcW w:w="1506" w:type="dxa"/>
            <w:vAlign w:val="center"/>
          </w:tcPr>
          <w:p w14:paraId="61640B44" w14:textId="16790299" w:rsidR="00AF3E47" w:rsidRDefault="00AF3E47" w:rsidP="00805A25">
            <w:r>
              <w:t>MMDE</w:t>
            </w:r>
          </w:p>
        </w:tc>
        <w:tc>
          <w:tcPr>
            <w:tcW w:w="494" w:type="dxa"/>
            <w:shd w:val="clear" w:color="auto" w:fill="FFFFFF" w:themeFill="background1"/>
            <w:vAlign w:val="center"/>
          </w:tcPr>
          <w:p w14:paraId="56110E56" w14:textId="77777777" w:rsidR="00AF3E47" w:rsidRDefault="00AF3E47" w:rsidP="00DA15EA"/>
        </w:tc>
        <w:tc>
          <w:tcPr>
            <w:tcW w:w="494" w:type="dxa"/>
            <w:shd w:val="clear" w:color="auto" w:fill="BFBFBF" w:themeFill="background1" w:themeFillShade="BF"/>
            <w:vAlign w:val="center"/>
          </w:tcPr>
          <w:p w14:paraId="675FE2E4" w14:textId="77777777" w:rsidR="00AF3E47" w:rsidRDefault="00AF3E47" w:rsidP="00DA15EA"/>
        </w:tc>
        <w:tc>
          <w:tcPr>
            <w:tcW w:w="494" w:type="dxa"/>
            <w:shd w:val="clear" w:color="auto" w:fill="BFBFBF" w:themeFill="background1" w:themeFillShade="BF"/>
            <w:vAlign w:val="center"/>
          </w:tcPr>
          <w:p w14:paraId="64902303" w14:textId="77777777" w:rsidR="00AF3E47" w:rsidRDefault="00AF3E47" w:rsidP="00DA15EA"/>
        </w:tc>
        <w:tc>
          <w:tcPr>
            <w:tcW w:w="494" w:type="dxa"/>
            <w:vAlign w:val="center"/>
          </w:tcPr>
          <w:p w14:paraId="089C104C" w14:textId="77777777" w:rsidR="00AF3E47" w:rsidRDefault="00AF3E47" w:rsidP="00DA15EA"/>
        </w:tc>
        <w:tc>
          <w:tcPr>
            <w:tcW w:w="494" w:type="dxa"/>
            <w:vAlign w:val="center"/>
          </w:tcPr>
          <w:p w14:paraId="6629DDCB" w14:textId="77777777" w:rsidR="00AF3E47" w:rsidRDefault="00AF3E47" w:rsidP="00DA15EA"/>
        </w:tc>
        <w:tc>
          <w:tcPr>
            <w:tcW w:w="494" w:type="dxa"/>
            <w:vAlign w:val="center"/>
          </w:tcPr>
          <w:p w14:paraId="6F2E98B3" w14:textId="77777777" w:rsidR="00AF3E47" w:rsidRDefault="00AF3E47" w:rsidP="00DA15EA"/>
        </w:tc>
        <w:tc>
          <w:tcPr>
            <w:tcW w:w="494" w:type="dxa"/>
            <w:vAlign w:val="center"/>
          </w:tcPr>
          <w:p w14:paraId="69A4F0B4" w14:textId="77777777" w:rsidR="00AF3E47" w:rsidRDefault="00AF3E47" w:rsidP="00DA15EA"/>
        </w:tc>
      </w:tr>
      <w:tr w:rsidR="00AF3E47" w14:paraId="56C9E532" w14:textId="77777777" w:rsidTr="00805A25">
        <w:tc>
          <w:tcPr>
            <w:tcW w:w="2014" w:type="dxa"/>
            <w:vMerge/>
            <w:vAlign w:val="center"/>
          </w:tcPr>
          <w:p w14:paraId="2C5E5FC7" w14:textId="77777777" w:rsidR="00AF3E47" w:rsidRDefault="00AF3E47" w:rsidP="00805A25"/>
        </w:tc>
        <w:tc>
          <w:tcPr>
            <w:tcW w:w="2039" w:type="dxa"/>
            <w:vAlign w:val="center"/>
          </w:tcPr>
          <w:p w14:paraId="3B8D0DDD" w14:textId="0911FD92" w:rsidR="00AF3E47" w:rsidRDefault="00AF3E47" w:rsidP="00805A25">
            <w:r>
              <w:t>Validation by stakeholder</w:t>
            </w:r>
            <w:r w:rsidR="00D778D8">
              <w:t>s</w:t>
            </w:r>
          </w:p>
        </w:tc>
        <w:tc>
          <w:tcPr>
            <w:tcW w:w="1506" w:type="dxa"/>
            <w:vAlign w:val="center"/>
          </w:tcPr>
          <w:p w14:paraId="2D59B672" w14:textId="32A318E0" w:rsidR="00AF3E47" w:rsidRDefault="00AF3E47" w:rsidP="00805A25">
            <w:r w:rsidRPr="0059493B">
              <w:t>MMDE</w:t>
            </w:r>
          </w:p>
        </w:tc>
        <w:tc>
          <w:tcPr>
            <w:tcW w:w="494" w:type="dxa"/>
            <w:vAlign w:val="center"/>
          </w:tcPr>
          <w:p w14:paraId="65B9011D" w14:textId="77777777" w:rsidR="00AF3E47" w:rsidRDefault="00AF3E47" w:rsidP="00DA15EA"/>
        </w:tc>
        <w:tc>
          <w:tcPr>
            <w:tcW w:w="494" w:type="dxa"/>
            <w:shd w:val="clear" w:color="auto" w:fill="FFFFFF" w:themeFill="background1"/>
            <w:vAlign w:val="center"/>
          </w:tcPr>
          <w:p w14:paraId="056C9D3D" w14:textId="77777777" w:rsidR="00AF3E47" w:rsidRDefault="00AF3E47" w:rsidP="00DA15EA"/>
        </w:tc>
        <w:tc>
          <w:tcPr>
            <w:tcW w:w="494" w:type="dxa"/>
            <w:shd w:val="clear" w:color="auto" w:fill="BFBFBF" w:themeFill="background1" w:themeFillShade="BF"/>
            <w:vAlign w:val="center"/>
          </w:tcPr>
          <w:p w14:paraId="32D8EF9F" w14:textId="77777777" w:rsidR="00AF3E47" w:rsidRDefault="00AF3E47" w:rsidP="00DA15EA"/>
        </w:tc>
        <w:tc>
          <w:tcPr>
            <w:tcW w:w="494" w:type="dxa"/>
            <w:shd w:val="clear" w:color="auto" w:fill="BFBFBF" w:themeFill="background1" w:themeFillShade="BF"/>
            <w:vAlign w:val="center"/>
          </w:tcPr>
          <w:p w14:paraId="476D8505" w14:textId="77777777" w:rsidR="00AF3E47" w:rsidRDefault="00AF3E47" w:rsidP="00DA15EA"/>
        </w:tc>
        <w:tc>
          <w:tcPr>
            <w:tcW w:w="494" w:type="dxa"/>
            <w:vAlign w:val="center"/>
          </w:tcPr>
          <w:p w14:paraId="4F94FDFC" w14:textId="77777777" w:rsidR="00AF3E47" w:rsidRDefault="00AF3E47" w:rsidP="00DA15EA"/>
        </w:tc>
        <w:tc>
          <w:tcPr>
            <w:tcW w:w="494" w:type="dxa"/>
            <w:vAlign w:val="center"/>
          </w:tcPr>
          <w:p w14:paraId="21E09F57" w14:textId="77777777" w:rsidR="00AF3E47" w:rsidRDefault="00AF3E47" w:rsidP="00DA15EA"/>
        </w:tc>
        <w:tc>
          <w:tcPr>
            <w:tcW w:w="494" w:type="dxa"/>
            <w:vAlign w:val="center"/>
          </w:tcPr>
          <w:p w14:paraId="414D8A92" w14:textId="77777777" w:rsidR="00AF3E47" w:rsidRDefault="00AF3E47" w:rsidP="00DA15EA"/>
        </w:tc>
      </w:tr>
      <w:tr w:rsidR="00AF3E47" w14:paraId="66C544F5" w14:textId="77777777" w:rsidTr="00805A25">
        <w:tc>
          <w:tcPr>
            <w:tcW w:w="2014" w:type="dxa"/>
            <w:vMerge/>
            <w:vAlign w:val="center"/>
          </w:tcPr>
          <w:p w14:paraId="1A6A870F" w14:textId="77777777" w:rsidR="00AF3E47" w:rsidRDefault="00AF3E47" w:rsidP="00805A25"/>
        </w:tc>
        <w:tc>
          <w:tcPr>
            <w:tcW w:w="2039" w:type="dxa"/>
            <w:vAlign w:val="center"/>
          </w:tcPr>
          <w:p w14:paraId="03CC0067" w14:textId="77777777" w:rsidR="00AF3E47" w:rsidRDefault="00AF3E47" w:rsidP="00805A25">
            <w:r>
              <w:t>Government approval</w:t>
            </w:r>
          </w:p>
        </w:tc>
        <w:tc>
          <w:tcPr>
            <w:tcW w:w="1506" w:type="dxa"/>
            <w:vAlign w:val="center"/>
          </w:tcPr>
          <w:p w14:paraId="44381A80" w14:textId="007502CF" w:rsidR="00AF3E47" w:rsidRDefault="00AF3E47" w:rsidP="00805A25">
            <w:r w:rsidRPr="0059493B">
              <w:t>MMDE</w:t>
            </w:r>
          </w:p>
        </w:tc>
        <w:tc>
          <w:tcPr>
            <w:tcW w:w="494" w:type="dxa"/>
            <w:vAlign w:val="center"/>
          </w:tcPr>
          <w:p w14:paraId="375D8B59" w14:textId="77777777" w:rsidR="00AF3E47" w:rsidRDefault="00AF3E47" w:rsidP="00DA15EA"/>
        </w:tc>
        <w:tc>
          <w:tcPr>
            <w:tcW w:w="494" w:type="dxa"/>
            <w:shd w:val="clear" w:color="auto" w:fill="FFFFFF" w:themeFill="background1"/>
            <w:vAlign w:val="center"/>
          </w:tcPr>
          <w:p w14:paraId="1AB7AFEC" w14:textId="77777777" w:rsidR="00AF3E47" w:rsidRDefault="00AF3E47" w:rsidP="00DA15EA"/>
        </w:tc>
        <w:tc>
          <w:tcPr>
            <w:tcW w:w="494" w:type="dxa"/>
            <w:shd w:val="clear" w:color="auto" w:fill="BFBFBF" w:themeFill="background1" w:themeFillShade="BF"/>
            <w:vAlign w:val="center"/>
          </w:tcPr>
          <w:p w14:paraId="13E4BB5E" w14:textId="77777777" w:rsidR="00AF3E47" w:rsidRDefault="00AF3E47" w:rsidP="00DA15EA"/>
        </w:tc>
        <w:tc>
          <w:tcPr>
            <w:tcW w:w="494" w:type="dxa"/>
            <w:shd w:val="clear" w:color="auto" w:fill="BFBFBF" w:themeFill="background1" w:themeFillShade="BF"/>
            <w:vAlign w:val="center"/>
          </w:tcPr>
          <w:p w14:paraId="48F4B554" w14:textId="77777777" w:rsidR="00AF3E47" w:rsidRDefault="00AF3E47" w:rsidP="00DA15EA"/>
        </w:tc>
        <w:tc>
          <w:tcPr>
            <w:tcW w:w="494" w:type="dxa"/>
            <w:vAlign w:val="center"/>
          </w:tcPr>
          <w:p w14:paraId="6EDD297C" w14:textId="77777777" w:rsidR="00AF3E47" w:rsidRDefault="00AF3E47" w:rsidP="00DA15EA"/>
        </w:tc>
        <w:tc>
          <w:tcPr>
            <w:tcW w:w="494" w:type="dxa"/>
            <w:vAlign w:val="center"/>
          </w:tcPr>
          <w:p w14:paraId="358D6F50" w14:textId="77777777" w:rsidR="00AF3E47" w:rsidRDefault="00AF3E47" w:rsidP="00DA15EA"/>
        </w:tc>
        <w:tc>
          <w:tcPr>
            <w:tcW w:w="494" w:type="dxa"/>
            <w:vAlign w:val="center"/>
          </w:tcPr>
          <w:p w14:paraId="0DF40DE2" w14:textId="77777777" w:rsidR="00AF3E47" w:rsidRDefault="00AF3E47" w:rsidP="00DA15EA"/>
        </w:tc>
      </w:tr>
      <w:tr w:rsidR="00AF3E47" w14:paraId="16E3DE39" w14:textId="77777777" w:rsidTr="00805A25">
        <w:tc>
          <w:tcPr>
            <w:tcW w:w="2014" w:type="dxa"/>
            <w:vMerge/>
            <w:vAlign w:val="center"/>
          </w:tcPr>
          <w:p w14:paraId="38F34B23" w14:textId="77777777" w:rsidR="00AF3E47" w:rsidRDefault="00AF3E47" w:rsidP="00805A25"/>
        </w:tc>
        <w:tc>
          <w:tcPr>
            <w:tcW w:w="2039" w:type="dxa"/>
            <w:vAlign w:val="center"/>
          </w:tcPr>
          <w:p w14:paraId="7D120146" w14:textId="77777777" w:rsidR="00AF3E47" w:rsidRDefault="00AF3E47" w:rsidP="00805A25">
            <w:r>
              <w:t>Awareness programmes and capacity building</w:t>
            </w:r>
          </w:p>
          <w:p w14:paraId="68965946" w14:textId="1D09DDE8" w:rsidR="00AF3E47" w:rsidRDefault="00AF3E47" w:rsidP="00805A25">
            <w:r w:rsidRPr="0037083C">
              <w:t>to promote both consumption and production</w:t>
            </w:r>
          </w:p>
        </w:tc>
        <w:tc>
          <w:tcPr>
            <w:tcW w:w="1506" w:type="dxa"/>
            <w:vAlign w:val="center"/>
          </w:tcPr>
          <w:p w14:paraId="6AEBD148" w14:textId="5725CE4F" w:rsidR="00AF3E47" w:rsidRDefault="00AF3E47" w:rsidP="00805A25">
            <w:r w:rsidRPr="0059493B">
              <w:t>MMDE</w:t>
            </w:r>
          </w:p>
        </w:tc>
        <w:tc>
          <w:tcPr>
            <w:tcW w:w="494" w:type="dxa"/>
            <w:vAlign w:val="center"/>
          </w:tcPr>
          <w:p w14:paraId="73C8A4D9" w14:textId="77777777" w:rsidR="00AF3E47" w:rsidRDefault="00AF3E47" w:rsidP="00DA15EA"/>
        </w:tc>
        <w:tc>
          <w:tcPr>
            <w:tcW w:w="494" w:type="dxa"/>
            <w:vAlign w:val="center"/>
          </w:tcPr>
          <w:p w14:paraId="73691609" w14:textId="77777777" w:rsidR="00AF3E47" w:rsidRDefault="00AF3E47" w:rsidP="00DA15EA"/>
        </w:tc>
        <w:tc>
          <w:tcPr>
            <w:tcW w:w="494" w:type="dxa"/>
            <w:vAlign w:val="center"/>
          </w:tcPr>
          <w:p w14:paraId="217F4531" w14:textId="77777777" w:rsidR="00AF3E47" w:rsidRDefault="00AF3E47" w:rsidP="00DA15EA"/>
        </w:tc>
        <w:tc>
          <w:tcPr>
            <w:tcW w:w="494" w:type="dxa"/>
            <w:shd w:val="clear" w:color="auto" w:fill="BFBFBF" w:themeFill="background1" w:themeFillShade="BF"/>
            <w:vAlign w:val="center"/>
          </w:tcPr>
          <w:p w14:paraId="2A8E2E43" w14:textId="77777777" w:rsidR="00AF3E47" w:rsidRDefault="00AF3E47" w:rsidP="00DA15EA"/>
        </w:tc>
        <w:tc>
          <w:tcPr>
            <w:tcW w:w="494" w:type="dxa"/>
            <w:shd w:val="clear" w:color="auto" w:fill="FFFFFF" w:themeFill="background1"/>
            <w:vAlign w:val="center"/>
          </w:tcPr>
          <w:p w14:paraId="2B91826E" w14:textId="77777777" w:rsidR="00AF3E47" w:rsidRDefault="00AF3E47" w:rsidP="00DA15EA"/>
        </w:tc>
        <w:tc>
          <w:tcPr>
            <w:tcW w:w="494" w:type="dxa"/>
            <w:vAlign w:val="center"/>
          </w:tcPr>
          <w:p w14:paraId="08457162" w14:textId="77777777" w:rsidR="00AF3E47" w:rsidRDefault="00AF3E47" w:rsidP="00DA15EA"/>
        </w:tc>
        <w:tc>
          <w:tcPr>
            <w:tcW w:w="494" w:type="dxa"/>
            <w:vAlign w:val="center"/>
          </w:tcPr>
          <w:p w14:paraId="6B1B71A6" w14:textId="77777777" w:rsidR="00AF3E47" w:rsidRDefault="00AF3E47" w:rsidP="00DA15EA"/>
        </w:tc>
      </w:tr>
      <w:tr w:rsidR="00805A25" w14:paraId="2EEE22A0" w14:textId="77777777" w:rsidTr="00805A25">
        <w:tc>
          <w:tcPr>
            <w:tcW w:w="2014" w:type="dxa"/>
            <w:vMerge w:val="restart"/>
            <w:vAlign w:val="center"/>
          </w:tcPr>
          <w:p w14:paraId="3ED1005B" w14:textId="77777777" w:rsidR="00805A25" w:rsidRDefault="00805A25" w:rsidP="00805A25">
            <w:r>
              <w:t>Implementation</w:t>
            </w:r>
          </w:p>
        </w:tc>
        <w:tc>
          <w:tcPr>
            <w:tcW w:w="2039" w:type="dxa"/>
            <w:vAlign w:val="center"/>
          </w:tcPr>
          <w:p w14:paraId="7307801E" w14:textId="77777777" w:rsidR="00805A25" w:rsidRDefault="00805A25" w:rsidP="00805A25">
            <w:r>
              <w:t>Establishing implementation mechanism</w:t>
            </w:r>
          </w:p>
        </w:tc>
        <w:tc>
          <w:tcPr>
            <w:tcW w:w="1506" w:type="dxa"/>
            <w:vAlign w:val="center"/>
          </w:tcPr>
          <w:p w14:paraId="01CAEFAB" w14:textId="21A5A7B2" w:rsidR="00805A25" w:rsidRDefault="00805A25" w:rsidP="00805A25">
            <w:r w:rsidRPr="00B20024">
              <w:t>MMDE</w:t>
            </w:r>
          </w:p>
        </w:tc>
        <w:tc>
          <w:tcPr>
            <w:tcW w:w="494" w:type="dxa"/>
            <w:vAlign w:val="center"/>
          </w:tcPr>
          <w:p w14:paraId="615934D5" w14:textId="77777777" w:rsidR="00805A25" w:rsidRDefault="00805A25" w:rsidP="0059493B"/>
        </w:tc>
        <w:tc>
          <w:tcPr>
            <w:tcW w:w="494" w:type="dxa"/>
            <w:vAlign w:val="center"/>
          </w:tcPr>
          <w:p w14:paraId="364CB4AF" w14:textId="77777777" w:rsidR="00805A25" w:rsidRDefault="00805A25" w:rsidP="0059493B"/>
        </w:tc>
        <w:tc>
          <w:tcPr>
            <w:tcW w:w="494" w:type="dxa"/>
            <w:vAlign w:val="center"/>
          </w:tcPr>
          <w:p w14:paraId="37BC7E3C" w14:textId="77777777" w:rsidR="00805A25" w:rsidRDefault="00805A25" w:rsidP="0059493B"/>
        </w:tc>
        <w:tc>
          <w:tcPr>
            <w:tcW w:w="494" w:type="dxa"/>
            <w:shd w:val="clear" w:color="auto" w:fill="BFBFBF" w:themeFill="background1" w:themeFillShade="BF"/>
            <w:vAlign w:val="center"/>
          </w:tcPr>
          <w:p w14:paraId="55438369" w14:textId="77777777" w:rsidR="00805A25" w:rsidRDefault="00805A25" w:rsidP="0059493B"/>
        </w:tc>
        <w:tc>
          <w:tcPr>
            <w:tcW w:w="494" w:type="dxa"/>
            <w:shd w:val="clear" w:color="auto" w:fill="BFBFBF" w:themeFill="background1" w:themeFillShade="BF"/>
            <w:vAlign w:val="center"/>
          </w:tcPr>
          <w:p w14:paraId="1A153527" w14:textId="77777777" w:rsidR="00805A25" w:rsidRDefault="00805A25" w:rsidP="0059493B"/>
        </w:tc>
        <w:tc>
          <w:tcPr>
            <w:tcW w:w="494" w:type="dxa"/>
            <w:vAlign w:val="center"/>
          </w:tcPr>
          <w:p w14:paraId="3AA4E31F" w14:textId="77777777" w:rsidR="00805A25" w:rsidRDefault="00805A25" w:rsidP="0059493B"/>
        </w:tc>
        <w:tc>
          <w:tcPr>
            <w:tcW w:w="494" w:type="dxa"/>
            <w:vAlign w:val="center"/>
          </w:tcPr>
          <w:p w14:paraId="62AA00D0" w14:textId="77777777" w:rsidR="00805A25" w:rsidRDefault="00805A25" w:rsidP="0059493B"/>
        </w:tc>
      </w:tr>
      <w:tr w:rsidR="00805A25" w14:paraId="512E5447" w14:textId="77777777" w:rsidTr="00F80987">
        <w:tc>
          <w:tcPr>
            <w:tcW w:w="2014" w:type="dxa"/>
            <w:vMerge/>
            <w:vAlign w:val="center"/>
          </w:tcPr>
          <w:p w14:paraId="00B31FA8" w14:textId="77777777" w:rsidR="00805A25" w:rsidRDefault="00805A25" w:rsidP="00805A25"/>
        </w:tc>
        <w:tc>
          <w:tcPr>
            <w:tcW w:w="2039" w:type="dxa"/>
            <w:vAlign w:val="center"/>
          </w:tcPr>
          <w:p w14:paraId="72D2271A" w14:textId="77777777" w:rsidR="00805A25" w:rsidRDefault="00805A25" w:rsidP="00805A25">
            <w:r w:rsidRPr="0059493B">
              <w:t>Application, assessment</w:t>
            </w:r>
            <w:r>
              <w:t xml:space="preserve"> and, labelling</w:t>
            </w:r>
          </w:p>
        </w:tc>
        <w:tc>
          <w:tcPr>
            <w:tcW w:w="1506" w:type="dxa"/>
            <w:vAlign w:val="center"/>
          </w:tcPr>
          <w:p w14:paraId="0332FDB2" w14:textId="358CE11A" w:rsidR="00805A25" w:rsidRDefault="00805A25" w:rsidP="00805A25">
            <w:r w:rsidRPr="00B20024">
              <w:t>MMDE</w:t>
            </w:r>
          </w:p>
        </w:tc>
        <w:tc>
          <w:tcPr>
            <w:tcW w:w="494" w:type="dxa"/>
            <w:vAlign w:val="center"/>
          </w:tcPr>
          <w:p w14:paraId="563B4E3C" w14:textId="77777777" w:rsidR="00805A25" w:rsidRDefault="00805A25" w:rsidP="0059493B"/>
        </w:tc>
        <w:tc>
          <w:tcPr>
            <w:tcW w:w="494" w:type="dxa"/>
            <w:vAlign w:val="center"/>
          </w:tcPr>
          <w:p w14:paraId="3C3532F5" w14:textId="77777777" w:rsidR="00805A25" w:rsidRDefault="00805A25" w:rsidP="0059493B"/>
        </w:tc>
        <w:tc>
          <w:tcPr>
            <w:tcW w:w="494" w:type="dxa"/>
            <w:vAlign w:val="center"/>
          </w:tcPr>
          <w:p w14:paraId="5FF0C5B5" w14:textId="77777777" w:rsidR="00805A25" w:rsidRDefault="00805A25" w:rsidP="0059493B"/>
        </w:tc>
        <w:tc>
          <w:tcPr>
            <w:tcW w:w="494" w:type="dxa"/>
            <w:vAlign w:val="center"/>
          </w:tcPr>
          <w:p w14:paraId="32DD8F64" w14:textId="77777777" w:rsidR="00805A25" w:rsidRDefault="00805A25" w:rsidP="0059493B"/>
        </w:tc>
        <w:tc>
          <w:tcPr>
            <w:tcW w:w="494" w:type="dxa"/>
            <w:shd w:val="clear" w:color="auto" w:fill="BFBFBF" w:themeFill="background1" w:themeFillShade="BF"/>
            <w:vAlign w:val="center"/>
          </w:tcPr>
          <w:p w14:paraId="78D2B29C" w14:textId="77777777" w:rsidR="00805A25" w:rsidRDefault="00805A25" w:rsidP="0059493B"/>
        </w:tc>
        <w:tc>
          <w:tcPr>
            <w:tcW w:w="494" w:type="dxa"/>
            <w:shd w:val="clear" w:color="auto" w:fill="BFBFBF" w:themeFill="background1" w:themeFillShade="BF"/>
            <w:vAlign w:val="center"/>
          </w:tcPr>
          <w:p w14:paraId="461B0F38" w14:textId="77777777" w:rsidR="00805A25" w:rsidRDefault="00805A25" w:rsidP="0059493B"/>
        </w:tc>
        <w:tc>
          <w:tcPr>
            <w:tcW w:w="494" w:type="dxa"/>
            <w:shd w:val="clear" w:color="auto" w:fill="auto"/>
            <w:vAlign w:val="center"/>
          </w:tcPr>
          <w:p w14:paraId="1723BDA0" w14:textId="77777777" w:rsidR="00805A25" w:rsidRDefault="00805A25" w:rsidP="0059493B"/>
        </w:tc>
      </w:tr>
      <w:tr w:rsidR="00805A25" w14:paraId="4B2D383D" w14:textId="77777777" w:rsidTr="00F80987">
        <w:tc>
          <w:tcPr>
            <w:tcW w:w="2014" w:type="dxa"/>
            <w:vMerge/>
            <w:vAlign w:val="center"/>
          </w:tcPr>
          <w:p w14:paraId="796407A0" w14:textId="77777777" w:rsidR="00805A25" w:rsidRDefault="00805A25" w:rsidP="00805A25"/>
        </w:tc>
        <w:tc>
          <w:tcPr>
            <w:tcW w:w="2039" w:type="dxa"/>
            <w:vAlign w:val="center"/>
          </w:tcPr>
          <w:p w14:paraId="0D856B2E" w14:textId="77777777" w:rsidR="00805A25" w:rsidRDefault="00805A25" w:rsidP="00805A25">
            <w:r>
              <w:t>Monitoring and evaluation</w:t>
            </w:r>
          </w:p>
        </w:tc>
        <w:tc>
          <w:tcPr>
            <w:tcW w:w="1506" w:type="dxa"/>
            <w:vAlign w:val="center"/>
          </w:tcPr>
          <w:p w14:paraId="526D8679" w14:textId="24F1A8FE" w:rsidR="00805A25" w:rsidRDefault="00805A25" w:rsidP="00805A25">
            <w:r w:rsidRPr="00B20024">
              <w:t>MMDE</w:t>
            </w:r>
          </w:p>
        </w:tc>
        <w:tc>
          <w:tcPr>
            <w:tcW w:w="494" w:type="dxa"/>
            <w:vAlign w:val="center"/>
          </w:tcPr>
          <w:p w14:paraId="4ECCA3BA" w14:textId="77777777" w:rsidR="00805A25" w:rsidRDefault="00805A25" w:rsidP="0059493B"/>
        </w:tc>
        <w:tc>
          <w:tcPr>
            <w:tcW w:w="494" w:type="dxa"/>
            <w:vAlign w:val="center"/>
          </w:tcPr>
          <w:p w14:paraId="1BB1F342" w14:textId="77777777" w:rsidR="00805A25" w:rsidRDefault="00805A25" w:rsidP="0059493B"/>
        </w:tc>
        <w:tc>
          <w:tcPr>
            <w:tcW w:w="494" w:type="dxa"/>
            <w:vAlign w:val="center"/>
          </w:tcPr>
          <w:p w14:paraId="14CDF8E8" w14:textId="77777777" w:rsidR="00805A25" w:rsidRDefault="00805A25" w:rsidP="0059493B"/>
        </w:tc>
        <w:tc>
          <w:tcPr>
            <w:tcW w:w="494" w:type="dxa"/>
            <w:vAlign w:val="center"/>
          </w:tcPr>
          <w:p w14:paraId="3CD28C29" w14:textId="77777777" w:rsidR="00805A25" w:rsidRDefault="00805A25" w:rsidP="0059493B"/>
        </w:tc>
        <w:tc>
          <w:tcPr>
            <w:tcW w:w="494" w:type="dxa"/>
            <w:shd w:val="clear" w:color="auto" w:fill="BFBFBF" w:themeFill="background1" w:themeFillShade="BF"/>
            <w:vAlign w:val="center"/>
          </w:tcPr>
          <w:p w14:paraId="7457DD5A" w14:textId="77777777" w:rsidR="00805A25" w:rsidRDefault="00805A25" w:rsidP="0059493B"/>
        </w:tc>
        <w:tc>
          <w:tcPr>
            <w:tcW w:w="494" w:type="dxa"/>
            <w:shd w:val="clear" w:color="auto" w:fill="BFBFBF" w:themeFill="background1" w:themeFillShade="BF"/>
            <w:vAlign w:val="center"/>
          </w:tcPr>
          <w:p w14:paraId="69D3CB71" w14:textId="77777777" w:rsidR="00805A25" w:rsidRDefault="00805A25" w:rsidP="0059493B"/>
        </w:tc>
        <w:tc>
          <w:tcPr>
            <w:tcW w:w="494" w:type="dxa"/>
            <w:shd w:val="clear" w:color="auto" w:fill="auto"/>
            <w:vAlign w:val="center"/>
          </w:tcPr>
          <w:p w14:paraId="7D3090BA" w14:textId="77777777" w:rsidR="00805A25" w:rsidRDefault="00805A25" w:rsidP="0059493B"/>
        </w:tc>
      </w:tr>
      <w:tr w:rsidR="00986ED6" w14:paraId="38434161" w14:textId="77777777" w:rsidTr="00805A25">
        <w:tc>
          <w:tcPr>
            <w:tcW w:w="2014" w:type="dxa"/>
            <w:vAlign w:val="center"/>
          </w:tcPr>
          <w:p w14:paraId="20D361FD" w14:textId="77777777" w:rsidR="00986ED6" w:rsidRDefault="00986ED6" w:rsidP="00805A25">
            <w:r>
              <w:t>Budget</w:t>
            </w:r>
          </w:p>
        </w:tc>
        <w:tc>
          <w:tcPr>
            <w:tcW w:w="7003" w:type="dxa"/>
            <w:gridSpan w:val="9"/>
            <w:vAlign w:val="center"/>
          </w:tcPr>
          <w:p w14:paraId="6862FAFA" w14:textId="77777777" w:rsidR="00986ED6" w:rsidRDefault="00986ED6" w:rsidP="00805A25">
            <w:r>
              <w:t>US$ 105,000</w:t>
            </w:r>
          </w:p>
        </w:tc>
      </w:tr>
      <w:tr w:rsidR="00986ED6" w14:paraId="28146409" w14:textId="77777777" w:rsidTr="00805A25">
        <w:tc>
          <w:tcPr>
            <w:tcW w:w="2014" w:type="dxa"/>
            <w:vAlign w:val="center"/>
          </w:tcPr>
          <w:p w14:paraId="07300A0C" w14:textId="77777777" w:rsidR="00986ED6" w:rsidRDefault="00986ED6" w:rsidP="00805A25">
            <w:r>
              <w:t>Financial result</w:t>
            </w:r>
          </w:p>
        </w:tc>
        <w:tc>
          <w:tcPr>
            <w:tcW w:w="7003" w:type="dxa"/>
            <w:gridSpan w:val="9"/>
            <w:vAlign w:val="center"/>
          </w:tcPr>
          <w:p w14:paraId="58FE1FBC" w14:textId="41422B6F" w:rsidR="00986ED6" w:rsidRDefault="00986ED6" w:rsidP="00805A25">
            <w:r>
              <w:t xml:space="preserve">US$ </w:t>
            </w:r>
            <w:r w:rsidR="00F14AE8">
              <w:t>1</w:t>
            </w:r>
            <w:r w:rsidR="003670BA">
              <w:t xml:space="preserve">0 million for </w:t>
            </w:r>
            <w:proofErr w:type="gramStart"/>
            <w:r w:rsidR="003670BA">
              <w:t>6 year</w:t>
            </w:r>
            <w:proofErr w:type="gramEnd"/>
            <w:r w:rsidR="003670BA">
              <w:t xml:space="preserve"> period (2019-2024)</w:t>
            </w:r>
          </w:p>
        </w:tc>
      </w:tr>
    </w:tbl>
    <w:p w14:paraId="7E0B31D1" w14:textId="5AFB7DC4" w:rsidR="0097167E" w:rsidRDefault="0097167E" w:rsidP="00BB5D98">
      <w:pPr>
        <w:jc w:val="both"/>
      </w:pPr>
    </w:p>
    <w:p w14:paraId="0E83141E" w14:textId="77777777" w:rsidR="00AA67D9" w:rsidRDefault="00AA67D9" w:rsidP="00096769">
      <w:pPr>
        <w:pStyle w:val="Heading4"/>
      </w:pPr>
      <w:r>
        <w:t>3. Green Lending</w:t>
      </w:r>
      <w:r w:rsidR="009C618C">
        <w:t>: “Green Financing” under the Sustainable Banking Network (SBN)</w:t>
      </w:r>
    </w:p>
    <w:p w14:paraId="55A779AC" w14:textId="77777777" w:rsidR="00AA67D9" w:rsidRDefault="00FA0D97" w:rsidP="00BB5D98">
      <w:pPr>
        <w:jc w:val="both"/>
      </w:pPr>
      <w:r>
        <w:t>The finance solution is to provide</w:t>
      </w:r>
      <w:r w:rsidR="00DA021C" w:rsidRPr="00DA021C">
        <w:t xml:space="preserve"> guidelines for the commercial banks to promote and prioritize “green lending” opportunities that are expected to have a positive impact on biodiversity conservation and its sustainable use.</w:t>
      </w:r>
    </w:p>
    <w:p w14:paraId="14F38CDC" w14:textId="77777777" w:rsidR="00C9441A" w:rsidRDefault="00C9441A" w:rsidP="00BB5D98">
      <w:pPr>
        <w:jc w:val="both"/>
      </w:pPr>
      <w:r>
        <w:t>Objective</w:t>
      </w:r>
    </w:p>
    <w:p w14:paraId="5E6F9170" w14:textId="2F62C1BF" w:rsidR="00C9441A" w:rsidRDefault="00C9441A" w:rsidP="00BB5D98">
      <w:pPr>
        <w:jc w:val="both"/>
      </w:pPr>
      <w:r>
        <w:t xml:space="preserve">To encourage commercial banks to prioritize bank lending to business activities </w:t>
      </w:r>
      <w:r w:rsidR="00394556">
        <w:t xml:space="preserve">which </w:t>
      </w:r>
      <w:r>
        <w:t>adopt sustainable environment and biodiversity norms and standards.</w:t>
      </w:r>
    </w:p>
    <w:p w14:paraId="792B5465" w14:textId="77777777" w:rsidR="00FA0D97" w:rsidRDefault="00FA0D97" w:rsidP="00BB5D98">
      <w:pPr>
        <w:jc w:val="both"/>
      </w:pPr>
      <w:r>
        <w:t>Description</w:t>
      </w:r>
    </w:p>
    <w:p w14:paraId="0E519750" w14:textId="5DD5AF02" w:rsidR="004B5D2E" w:rsidRDefault="0061602E" w:rsidP="00364CD5">
      <w:pPr>
        <w:jc w:val="both"/>
      </w:pPr>
      <w:r>
        <w:t>There have been discussions among policy circles in Sri Lanka about “g</w:t>
      </w:r>
      <w:r w:rsidR="00364CD5">
        <w:t xml:space="preserve">reen financing” </w:t>
      </w:r>
      <w:r>
        <w:t>initiative, but it has not emerged as a natio</w:t>
      </w:r>
      <w:r w:rsidR="00271969">
        <w:t>nal policy. Nevertheless,</w:t>
      </w:r>
      <w:r w:rsidR="00364CD5">
        <w:t xml:space="preserve"> commercial banks have </w:t>
      </w:r>
      <w:r w:rsidR="00271969">
        <w:t xml:space="preserve">already moved fast and competitively on their own in </w:t>
      </w:r>
      <w:r w:rsidR="00364CD5">
        <w:t xml:space="preserve">adopting such initiatives </w:t>
      </w:r>
      <w:r w:rsidR="00271969">
        <w:t>incorporating them into</w:t>
      </w:r>
      <w:r w:rsidR="00364CD5">
        <w:t xml:space="preserve"> their lending practices. </w:t>
      </w:r>
      <w:r w:rsidR="004B5D2E">
        <w:t>The</w:t>
      </w:r>
      <w:r w:rsidR="00364CD5">
        <w:t xml:space="preserve"> Central Bank of Sri Lanka (CBSL)</w:t>
      </w:r>
      <w:r w:rsidR="004B5D2E">
        <w:t xml:space="preserve"> has also</w:t>
      </w:r>
      <w:r w:rsidR="00364CD5">
        <w:t xml:space="preserve"> become a member of the Sustainable Banking Network (SBN) of the International Finance Corporation (IFC)</w:t>
      </w:r>
      <w:r w:rsidR="004B5D2E">
        <w:t xml:space="preserve">. </w:t>
      </w:r>
      <w:r w:rsidR="00F44BD4" w:rsidRPr="00F44BD4">
        <w:t xml:space="preserve">The </w:t>
      </w:r>
      <w:r w:rsidR="00F44BD4">
        <w:t>SBN is a</w:t>
      </w:r>
      <w:r w:rsidR="00F44BD4" w:rsidRPr="00F44BD4">
        <w:t xml:space="preserve"> community of financial sector regulatory agencies and banking associations from emerging markets committed to advancing sustainable finance in line with international good practice. The </w:t>
      </w:r>
      <w:r w:rsidR="00F44BD4">
        <w:t>SBN</w:t>
      </w:r>
      <w:r w:rsidR="00F44BD4" w:rsidRPr="00F44BD4">
        <w:t xml:space="preserve"> facilitates the collective learning of members and supports them in policy development and related initiatives to create drivers for sustainable finance in their home countries.</w:t>
      </w:r>
    </w:p>
    <w:p w14:paraId="6B268BD6" w14:textId="27B2F15C" w:rsidR="00A30310" w:rsidRDefault="00D64696" w:rsidP="00364CD5">
      <w:pPr>
        <w:jc w:val="both"/>
      </w:pPr>
      <w:r>
        <w:t xml:space="preserve">In Sri Lanka, the private commercial banks have already stepped into different types of “green lending” practices according to their own initiatives. </w:t>
      </w:r>
      <w:r w:rsidR="00345BEE">
        <w:t xml:space="preserve">There are 25 commercial banks in the country. While outstanding private credit of the banking system accounts for LKR 4.9 trillion by the end of 2017, which has grown by 15 percent or LKR 650 billion over the period of one year. </w:t>
      </w:r>
      <w:r w:rsidR="004B5D2E">
        <w:t>Given this background, there is an opportunity to provide a</w:t>
      </w:r>
      <w:r w:rsidR="00345BEE">
        <w:t>n effective</w:t>
      </w:r>
      <w:r w:rsidR="004B5D2E">
        <w:t xml:space="preserve"> finance solution under the </w:t>
      </w:r>
      <w:r w:rsidR="00156485">
        <w:t>category of Green Lending.</w:t>
      </w:r>
    </w:p>
    <w:p w14:paraId="40CF7E4A" w14:textId="70F2F280" w:rsidR="00A30310" w:rsidRDefault="000D7A7A" w:rsidP="00364CD5">
      <w:pPr>
        <w:jc w:val="both"/>
      </w:pPr>
      <w:r>
        <w:rPr>
          <w:noProof/>
          <w:lang w:val="en-AU" w:eastAsia="en-AU" w:bidi="si-LK"/>
        </w:rPr>
        <mc:AlternateContent>
          <mc:Choice Requires="wps">
            <w:drawing>
              <wp:anchor distT="45720" distB="45720" distL="114300" distR="114300" simplePos="0" relativeHeight="251659264" behindDoc="0" locked="0" layoutInCell="1" allowOverlap="1" wp14:anchorId="151A0EB2" wp14:editId="111D85F9">
                <wp:simplePos x="0" y="0"/>
                <wp:positionH relativeFrom="column">
                  <wp:posOffset>3510280</wp:posOffset>
                </wp:positionH>
                <wp:positionV relativeFrom="paragraph">
                  <wp:posOffset>82550</wp:posOffset>
                </wp:positionV>
                <wp:extent cx="2360930" cy="1404620"/>
                <wp:effectExtent l="0" t="0" r="1206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2CBD48" w14:textId="795FB58C" w:rsidR="00791098" w:rsidRPr="00BA62CA" w:rsidRDefault="00791098" w:rsidP="00BA62CA">
                            <w:pPr>
                              <w:spacing w:before="240"/>
                              <w:jc w:val="center"/>
                              <w:rPr>
                                <w:color w:val="767171" w:themeColor="background2" w:themeShade="80"/>
                                <w:sz w:val="36"/>
                              </w:rPr>
                            </w:pPr>
                            <w:r w:rsidRPr="00BA62CA">
                              <w:rPr>
                                <w:color w:val="767171" w:themeColor="background2" w:themeShade="80"/>
                                <w:sz w:val="36"/>
                              </w:rPr>
                              <w:t>“BEST GREEN BANK”</w:t>
                            </w:r>
                          </w:p>
                          <w:p w14:paraId="6B882013" w14:textId="75665370" w:rsidR="00791098" w:rsidRPr="00BA62CA" w:rsidRDefault="00791098" w:rsidP="00BA62CA">
                            <w:pPr>
                              <w:jc w:val="both"/>
                              <w:rPr>
                                <w:color w:val="767171" w:themeColor="background2" w:themeShade="80"/>
                              </w:rPr>
                            </w:pPr>
                            <w:r w:rsidRPr="00BA62CA">
                              <w:rPr>
                                <w:color w:val="767171" w:themeColor="background2" w:themeShade="80"/>
                              </w:rPr>
                              <w:t>The Commercial Bank of Ceylon received the awards for ‘Best Green Bank’ in 2017 presented by International Finance Magazine (IFM) of the UK for its green lending practices, assisting the clients to reduce environmental footprints and, for its own efforts to make bank operations eco-friendly. The Social and Environmental Management System (SEMS) adopted by the Commercial Bank ensures its lending decisions are made with due consideration to environmental impacts as well as compliance with national laws and regulations on environmental and social issues. The Commercial Bank of Ceylon is the largest private bank in Sri Lanka.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1A0EB2" id="_x0000_t202" coordsize="21600,21600" o:spt="202" path="m,l,21600r21600,l21600,xe">
                <v:stroke joinstyle="miter"/>
                <v:path gradientshapeok="t" o:connecttype="rect"/>
              </v:shapetype>
              <v:shape id="Text Box 2" o:spid="_x0000_s1026" type="#_x0000_t202" style="position:absolute;left:0;text-align:left;margin-left:276.4pt;margin-top: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mmzETiAAAADwEAAA8AAABkcnMvZG93bnJldi54bWxM&#10;j81OwzAQhO9IvIO1SNyog5tGbRqnqgJcK7VF4rqNTRLwT4idNLw9ywkuK61mdvabYjdbwyY9hM47&#10;CY+LBJh2tVedayS8nl8e1sBCRKfQeKclfOsAu/L2psBc+as76ukUG0YhLuQooY2xzzkPdasthoXv&#10;tSPt3Q8WI61Dw9WAVwq3hoskybjFztGHFntdtbr+PI1Wwniu9tOxEh9v00Glh+wZLZovKe/v5qct&#10;jf0WWNRz/LuA3w7EDyWBXfzoVGBGwmoliD+SsKRiZNiINAN2kSCWqQBeFvx/j/IHAAD//wMAUEsB&#10;Ai0AFAAGAAgAAAAhALaDOJL+AAAA4QEAABMAAAAAAAAAAAAAAAAAAAAAAFtDb250ZW50X1R5cGVz&#10;XS54bWxQSwECLQAUAAYACAAAACEAOP0h/9YAAACUAQAACwAAAAAAAAAAAAAAAAAvAQAAX3JlbHMv&#10;LnJlbHNQSwECLQAUAAYACAAAACEAJsvtYiUCAABHBAAADgAAAAAAAAAAAAAAAAAuAgAAZHJzL2Uy&#10;b0RvYy54bWxQSwECLQAUAAYACAAAACEAuabMROIAAAAPAQAADwAAAAAAAAAAAAAAAAB/BAAAZHJz&#10;L2Rvd25yZXYueG1sUEsFBgAAAAAEAAQA8wAAAI4FAAAAAA==&#10;">
                <v:textbox style="mso-fit-shape-to-text:t">
                  <w:txbxContent>
                    <w:p w14:paraId="5E2CBD48" w14:textId="795FB58C" w:rsidR="00791098" w:rsidRPr="00BA62CA" w:rsidRDefault="00791098" w:rsidP="00BA62CA">
                      <w:pPr>
                        <w:spacing w:before="240"/>
                        <w:jc w:val="center"/>
                        <w:rPr>
                          <w:color w:val="767171" w:themeColor="background2" w:themeShade="80"/>
                          <w:sz w:val="36"/>
                        </w:rPr>
                      </w:pPr>
                      <w:r w:rsidRPr="00BA62CA">
                        <w:rPr>
                          <w:color w:val="767171" w:themeColor="background2" w:themeShade="80"/>
                          <w:sz w:val="36"/>
                        </w:rPr>
                        <w:t>“BEST GREEN BANK”</w:t>
                      </w:r>
                    </w:p>
                    <w:p w14:paraId="6B882013" w14:textId="75665370" w:rsidR="00791098" w:rsidRPr="00BA62CA" w:rsidRDefault="00791098" w:rsidP="00BA62CA">
                      <w:pPr>
                        <w:jc w:val="both"/>
                        <w:rPr>
                          <w:color w:val="767171" w:themeColor="background2" w:themeShade="80"/>
                        </w:rPr>
                      </w:pPr>
                      <w:r w:rsidRPr="00BA62CA">
                        <w:rPr>
                          <w:color w:val="767171" w:themeColor="background2" w:themeShade="80"/>
                        </w:rPr>
                        <w:t>The Commercial Bank of Ceylon received the awards for ‘Best Green Bank’ in 2017 presented by International Finance Magazine (IFM) of the UK for its green lending practices, assisting the clients to reduce environmental footprints and, for its own efforts to make bank operations eco-friendly. The Social and Environmental Management System (SEMS) adopted by the Commercial Bank ensures its lending decisions are made with due consideration to environmental impacts as well as compliance with national laws and regulations on environmental and social issues. The Commercial Bank of Ceylon is the largest private bank in Sri Lanka.</w:t>
                      </w:r>
                    </w:p>
                  </w:txbxContent>
                </v:textbox>
                <w10:wrap type="square"/>
              </v:shape>
            </w:pict>
          </mc:Fallback>
        </mc:AlternateContent>
      </w:r>
      <w:r w:rsidR="00156485">
        <w:t>The objective is to develop a framework with guidelines for the commercial banks to promote and prioritize</w:t>
      </w:r>
      <w:r w:rsidR="00D014A4">
        <w:t xml:space="preserve"> green lending</w:t>
      </w:r>
      <w:r w:rsidR="00156485">
        <w:t xml:space="preserve"> </w:t>
      </w:r>
      <w:r w:rsidR="00D014A4">
        <w:t>which have a positive impact on biodiversity</w:t>
      </w:r>
      <w:r w:rsidR="00D778D8">
        <w:t xml:space="preserve"> and ecosystem services</w:t>
      </w:r>
      <w:r w:rsidR="00D014A4">
        <w:t xml:space="preserve">. </w:t>
      </w:r>
      <w:proofErr w:type="gramStart"/>
      <w:r w:rsidR="00A30310">
        <w:t>Thus</w:t>
      </w:r>
      <w:proofErr w:type="gramEnd"/>
      <w:r w:rsidR="00A30310">
        <w:t xml:space="preserve"> biodiversity conservation and its sustainable use will be an essential component of the “green financing” initiative. Further, the initiative is expected to be promoted and expanded in covering the businesses at different scales of production and </w:t>
      </w:r>
      <w:r w:rsidR="008C7E04">
        <w:t>different locations around the country.</w:t>
      </w:r>
    </w:p>
    <w:p w14:paraId="12E6C5DA" w14:textId="69A7B717" w:rsidR="00CF0A47" w:rsidRPr="00271969" w:rsidRDefault="00CF0A47" w:rsidP="00364CD5">
      <w:pPr>
        <w:jc w:val="both"/>
        <w:rPr>
          <w:strike/>
        </w:rPr>
      </w:pPr>
    </w:p>
    <w:p w14:paraId="3A40F1C5" w14:textId="77777777" w:rsidR="00D014A4" w:rsidRDefault="00D014A4" w:rsidP="00364CD5">
      <w:pPr>
        <w:jc w:val="both"/>
      </w:pPr>
      <w:r>
        <w:t>Business case</w:t>
      </w:r>
    </w:p>
    <w:p w14:paraId="6887E788" w14:textId="1B0D9654" w:rsidR="00D014A4" w:rsidRDefault="00D014A4" w:rsidP="00364CD5">
      <w:pPr>
        <w:jc w:val="both"/>
      </w:pPr>
      <w:r>
        <w:t xml:space="preserve">The “green financing” initiative is a finance solution that meets the </w:t>
      </w:r>
      <w:r w:rsidR="00ED1EF0">
        <w:t xml:space="preserve">policy </w:t>
      </w:r>
      <w:r>
        <w:t xml:space="preserve">requirements of the </w:t>
      </w:r>
      <w:r w:rsidR="00ED1EF0">
        <w:t>Central Bank of Sri Lanka</w:t>
      </w:r>
      <w:r w:rsidR="00007E87">
        <w:t>,</w:t>
      </w:r>
      <w:r w:rsidR="00ED1EF0">
        <w:t xml:space="preserve"> a signatory to the Sustainable</w:t>
      </w:r>
      <w:r>
        <w:t xml:space="preserve"> Banking Network</w:t>
      </w:r>
      <w:r w:rsidR="00ED1EF0">
        <w:t xml:space="preserve"> (SBN)</w:t>
      </w:r>
      <w:r w:rsidR="00007E87">
        <w:t>,</w:t>
      </w:r>
      <w:r w:rsidR="00ED1EF0">
        <w:t xml:space="preserve"> as well as the government’s biodiversity financing needs. Therefore, the finance solution is positioned strongly within the national policy framework. </w:t>
      </w:r>
    </w:p>
    <w:p w14:paraId="40CA4BDC" w14:textId="77777777" w:rsidR="00ED1EF0" w:rsidRDefault="00ED1EF0" w:rsidP="00364CD5">
      <w:pPr>
        <w:jc w:val="both"/>
      </w:pPr>
      <w:r>
        <w:t>It will be of importance for the business lending of the commercial banks as they are placed in a better position to get access to better financing options at lower costs. Some of the banks have already tapped into funding sources for large funds such as the International Finance Corporation (IFC). This might be an opportunity for the commercial banks to improve their competitiveness and reputation.</w:t>
      </w:r>
    </w:p>
    <w:p w14:paraId="2BCD0FA3" w14:textId="1E6CF7CF" w:rsidR="00ED1EF0" w:rsidRDefault="00ED1EF0" w:rsidP="00364CD5">
      <w:pPr>
        <w:jc w:val="both"/>
      </w:pPr>
      <w:r>
        <w:t xml:space="preserve">From a business point of view, as the country is moving towards sustainable business practices, “green financing” allows the business sector to prepare </w:t>
      </w:r>
      <w:r w:rsidR="00542D4D">
        <w:t>for complying with policy direction of the country. In addition, some of the sustainability practices lead to lower their long-term average costs, allow them to comply with international sustainable practices and, promote their international competitiveness.</w:t>
      </w:r>
      <w:r w:rsidR="00C168AA">
        <w:t xml:space="preserve"> While the Road Map that is expected to provide green financing options to the private sector, it is based on both the national biodiversity needs as well as the sustainable banking practices. </w:t>
      </w:r>
      <w:r w:rsidR="0001021C">
        <w:t>The two areas are strongly interconnected and, not mutually exclusive.</w:t>
      </w:r>
    </w:p>
    <w:p w14:paraId="74DDBC73" w14:textId="77777777" w:rsidR="00A30310" w:rsidRDefault="00A30310" w:rsidP="00364CD5">
      <w:pPr>
        <w:jc w:val="both"/>
      </w:pPr>
      <w:r>
        <w:t>Responsibility</w:t>
      </w:r>
    </w:p>
    <w:p w14:paraId="7993789E" w14:textId="526A1E22" w:rsidR="00D014A4" w:rsidRDefault="00A30310" w:rsidP="00364CD5">
      <w:pPr>
        <w:jc w:val="both"/>
      </w:pPr>
      <w:r w:rsidRPr="00A30310">
        <w:t>The Central Bank of Sri Lanka will implement the green lending initiative which is expected to guide the commercial banks in line with an overall policy and regulatory framework. The commercial banks are expected to promote their green lending component within their business lending.</w:t>
      </w:r>
    </w:p>
    <w:p w14:paraId="29873485" w14:textId="77777777" w:rsidR="0010752B" w:rsidRDefault="0010752B" w:rsidP="00364CD5">
      <w:pPr>
        <w:jc w:val="both"/>
      </w:pPr>
      <w:r>
        <w:t>Being a pilot project of the proposed finance solutions, the activities of the “green Financing” initiative have already been commenced in 2018.</w:t>
      </w:r>
    </w:p>
    <w:p w14:paraId="63C04E63" w14:textId="2459358E" w:rsidR="00345BEE" w:rsidRDefault="00345BEE" w:rsidP="00364CD5">
      <w:pPr>
        <w:jc w:val="both"/>
      </w:pPr>
      <w:r>
        <w:t>Financial result</w:t>
      </w:r>
    </w:p>
    <w:p w14:paraId="2089E990" w14:textId="77777777" w:rsidR="003513AE" w:rsidRDefault="008D0263" w:rsidP="00BB5D98">
      <w:pPr>
        <w:jc w:val="both"/>
      </w:pPr>
      <w:r w:rsidRPr="008D0263">
        <w:t xml:space="preserve">Out of LKR 655 billion total bank credit to private sector in 2017, nearly 75 percent accounted for loans to production sectors. Out of the total credit to the production sectors, LKR 292 billion, which is 60 percent could be considered as </w:t>
      </w:r>
      <w:proofErr w:type="gramStart"/>
      <w:r w:rsidRPr="008D0263">
        <w:t>medium and long term</w:t>
      </w:r>
      <w:proofErr w:type="gramEnd"/>
      <w:r w:rsidRPr="008D0263">
        <w:t xml:space="preserve"> credits with maturity period more than 1 year. </w:t>
      </w:r>
    </w:p>
    <w:p w14:paraId="42110C12" w14:textId="0B29538B" w:rsidR="003513AE" w:rsidRDefault="008D0263" w:rsidP="00BB5D98">
      <w:pPr>
        <w:jc w:val="both"/>
      </w:pPr>
      <w:r w:rsidRPr="008D0263">
        <w:t>It is assumed that short-term loans are mostly to finance operations</w:t>
      </w:r>
      <w:r>
        <w:t xml:space="preserve"> rather than fixed investment, u</w:t>
      </w:r>
      <w:r w:rsidRPr="008D0263">
        <w:t>nder the assumption that on average mere 1 percent additional investment is required for complying with green financing requirements, the finance solution can generate additional LKR 2.9 billion, which is equivalent to US$ 16 million annually. This is mobilization of new finances by the private sector, which would lead to re-align production activities with greater emphasis on conservation and sustainable use of biodiversity among other aspects of green financing.</w:t>
      </w:r>
      <w:r w:rsidR="003513AE">
        <w:t xml:space="preserve"> For the plan period of the activity from 2019-2024, therefore the finance solution is expected to generate US$ 96 million.</w:t>
      </w:r>
    </w:p>
    <w:p w14:paraId="42F6942E" w14:textId="1E1BAA61" w:rsidR="00AA67D9" w:rsidRDefault="0010752B" w:rsidP="00BB5D98">
      <w:pPr>
        <w:jc w:val="both"/>
      </w:pPr>
      <w:r>
        <w:t>Action plan</w:t>
      </w:r>
    </w:p>
    <w:tbl>
      <w:tblPr>
        <w:tblStyle w:val="TableGrid"/>
        <w:tblW w:w="0" w:type="auto"/>
        <w:tblLook w:val="04A0" w:firstRow="1" w:lastRow="0" w:firstColumn="1" w:lastColumn="0" w:noHBand="0" w:noVBand="1"/>
      </w:tblPr>
      <w:tblGrid>
        <w:gridCol w:w="2051"/>
        <w:gridCol w:w="2008"/>
        <w:gridCol w:w="1500"/>
        <w:gridCol w:w="494"/>
        <w:gridCol w:w="494"/>
        <w:gridCol w:w="494"/>
        <w:gridCol w:w="494"/>
        <w:gridCol w:w="494"/>
        <w:gridCol w:w="494"/>
        <w:gridCol w:w="494"/>
      </w:tblGrid>
      <w:tr w:rsidR="0010752B" w14:paraId="2D8313FA" w14:textId="77777777" w:rsidTr="00200170">
        <w:tc>
          <w:tcPr>
            <w:tcW w:w="2051" w:type="dxa"/>
            <w:vMerge w:val="restart"/>
            <w:vAlign w:val="center"/>
          </w:tcPr>
          <w:p w14:paraId="089F7597" w14:textId="77777777" w:rsidR="0010752B" w:rsidRPr="00C27851" w:rsidRDefault="0010752B" w:rsidP="00F546DA">
            <w:pPr>
              <w:jc w:val="center"/>
            </w:pPr>
            <w:r w:rsidRPr="00C27851">
              <w:t>Output</w:t>
            </w:r>
          </w:p>
        </w:tc>
        <w:tc>
          <w:tcPr>
            <w:tcW w:w="2008" w:type="dxa"/>
            <w:vMerge w:val="restart"/>
            <w:vAlign w:val="center"/>
          </w:tcPr>
          <w:p w14:paraId="686EE344" w14:textId="77777777" w:rsidR="0010752B" w:rsidRPr="00C27851" w:rsidRDefault="0010752B" w:rsidP="00F546DA">
            <w:pPr>
              <w:jc w:val="center"/>
            </w:pPr>
            <w:r w:rsidRPr="00C27851">
              <w:t>Main activities</w:t>
            </w:r>
          </w:p>
        </w:tc>
        <w:tc>
          <w:tcPr>
            <w:tcW w:w="1500" w:type="dxa"/>
            <w:vMerge w:val="restart"/>
            <w:vAlign w:val="center"/>
          </w:tcPr>
          <w:p w14:paraId="01119780" w14:textId="77777777" w:rsidR="0010752B" w:rsidRPr="00C27851" w:rsidRDefault="0010752B" w:rsidP="00F546DA">
            <w:pPr>
              <w:jc w:val="center"/>
            </w:pPr>
            <w:r w:rsidRPr="00C27851">
              <w:t>Responsibility</w:t>
            </w:r>
          </w:p>
        </w:tc>
        <w:tc>
          <w:tcPr>
            <w:tcW w:w="3458" w:type="dxa"/>
            <w:gridSpan w:val="7"/>
            <w:vAlign w:val="center"/>
          </w:tcPr>
          <w:p w14:paraId="1AEDBD47" w14:textId="77777777" w:rsidR="0010752B" w:rsidRPr="00C27851" w:rsidRDefault="0010752B" w:rsidP="00F546DA">
            <w:pPr>
              <w:jc w:val="center"/>
            </w:pPr>
            <w:r w:rsidRPr="00C27851">
              <w:t>Year</w:t>
            </w:r>
          </w:p>
        </w:tc>
      </w:tr>
      <w:tr w:rsidR="0010752B" w14:paraId="2FFE6999" w14:textId="77777777" w:rsidTr="00200170">
        <w:tc>
          <w:tcPr>
            <w:tcW w:w="2051" w:type="dxa"/>
            <w:vMerge/>
            <w:vAlign w:val="center"/>
          </w:tcPr>
          <w:p w14:paraId="18A2323B" w14:textId="77777777" w:rsidR="0010752B" w:rsidRDefault="0010752B" w:rsidP="00F546DA">
            <w:pPr>
              <w:jc w:val="center"/>
            </w:pPr>
          </w:p>
        </w:tc>
        <w:tc>
          <w:tcPr>
            <w:tcW w:w="2008" w:type="dxa"/>
            <w:vMerge/>
            <w:vAlign w:val="center"/>
          </w:tcPr>
          <w:p w14:paraId="216DB972" w14:textId="77777777" w:rsidR="0010752B" w:rsidRDefault="0010752B" w:rsidP="00F546DA">
            <w:pPr>
              <w:jc w:val="center"/>
            </w:pPr>
          </w:p>
        </w:tc>
        <w:tc>
          <w:tcPr>
            <w:tcW w:w="1500" w:type="dxa"/>
            <w:vMerge/>
            <w:vAlign w:val="center"/>
          </w:tcPr>
          <w:p w14:paraId="0970087F" w14:textId="77777777" w:rsidR="0010752B" w:rsidRDefault="0010752B" w:rsidP="00F546DA">
            <w:pPr>
              <w:jc w:val="center"/>
            </w:pPr>
          </w:p>
        </w:tc>
        <w:tc>
          <w:tcPr>
            <w:tcW w:w="494" w:type="dxa"/>
            <w:vAlign w:val="center"/>
          </w:tcPr>
          <w:p w14:paraId="2A02A334" w14:textId="77777777" w:rsidR="0010752B" w:rsidRDefault="0010752B" w:rsidP="00F546DA">
            <w:pPr>
              <w:jc w:val="center"/>
            </w:pPr>
            <w:r w:rsidRPr="00C27851">
              <w:t>‘18</w:t>
            </w:r>
          </w:p>
        </w:tc>
        <w:tc>
          <w:tcPr>
            <w:tcW w:w="494" w:type="dxa"/>
            <w:vAlign w:val="center"/>
          </w:tcPr>
          <w:p w14:paraId="423BC06B" w14:textId="77777777" w:rsidR="0010752B" w:rsidRDefault="0010752B" w:rsidP="00F546DA">
            <w:pPr>
              <w:jc w:val="center"/>
            </w:pPr>
            <w:r w:rsidRPr="00C27851">
              <w:t>‘19</w:t>
            </w:r>
          </w:p>
        </w:tc>
        <w:tc>
          <w:tcPr>
            <w:tcW w:w="494" w:type="dxa"/>
            <w:vAlign w:val="center"/>
          </w:tcPr>
          <w:p w14:paraId="0951A5C0" w14:textId="77777777" w:rsidR="0010752B" w:rsidRDefault="0010752B" w:rsidP="00F546DA">
            <w:pPr>
              <w:jc w:val="center"/>
            </w:pPr>
            <w:r w:rsidRPr="00C27851">
              <w:t>‘20</w:t>
            </w:r>
          </w:p>
        </w:tc>
        <w:tc>
          <w:tcPr>
            <w:tcW w:w="494" w:type="dxa"/>
            <w:vAlign w:val="center"/>
          </w:tcPr>
          <w:p w14:paraId="1C505C84" w14:textId="77777777" w:rsidR="0010752B" w:rsidRDefault="0010752B" w:rsidP="00F546DA">
            <w:pPr>
              <w:jc w:val="center"/>
            </w:pPr>
            <w:r w:rsidRPr="00C27851">
              <w:t>‘21</w:t>
            </w:r>
          </w:p>
        </w:tc>
        <w:tc>
          <w:tcPr>
            <w:tcW w:w="494" w:type="dxa"/>
            <w:vAlign w:val="center"/>
          </w:tcPr>
          <w:p w14:paraId="51F9FC68" w14:textId="77777777" w:rsidR="0010752B" w:rsidRDefault="0010752B" w:rsidP="00F546DA">
            <w:pPr>
              <w:jc w:val="center"/>
            </w:pPr>
            <w:r w:rsidRPr="00C27851">
              <w:t>‘22</w:t>
            </w:r>
          </w:p>
        </w:tc>
        <w:tc>
          <w:tcPr>
            <w:tcW w:w="494" w:type="dxa"/>
            <w:vAlign w:val="center"/>
          </w:tcPr>
          <w:p w14:paraId="7E55146B" w14:textId="77777777" w:rsidR="0010752B" w:rsidRDefault="0010752B" w:rsidP="00F546DA">
            <w:pPr>
              <w:jc w:val="center"/>
            </w:pPr>
            <w:r w:rsidRPr="00C27851">
              <w:t>‘23</w:t>
            </w:r>
          </w:p>
        </w:tc>
        <w:tc>
          <w:tcPr>
            <w:tcW w:w="494" w:type="dxa"/>
            <w:vAlign w:val="center"/>
          </w:tcPr>
          <w:p w14:paraId="20FD49A1" w14:textId="77777777" w:rsidR="0010752B" w:rsidRDefault="0010752B" w:rsidP="00F546DA">
            <w:pPr>
              <w:jc w:val="center"/>
            </w:pPr>
            <w:r w:rsidRPr="00C27851">
              <w:t>‘24</w:t>
            </w:r>
          </w:p>
        </w:tc>
      </w:tr>
      <w:tr w:rsidR="003E7835" w14:paraId="748BD82C" w14:textId="77777777" w:rsidTr="00200170">
        <w:tc>
          <w:tcPr>
            <w:tcW w:w="2051" w:type="dxa"/>
            <w:vMerge w:val="restart"/>
            <w:vAlign w:val="center"/>
          </w:tcPr>
          <w:p w14:paraId="1243F366" w14:textId="77777777" w:rsidR="003E7835" w:rsidRDefault="003E7835" w:rsidP="00F546DA">
            <w:r>
              <w:t>Road Map of green financing</w:t>
            </w:r>
          </w:p>
        </w:tc>
        <w:tc>
          <w:tcPr>
            <w:tcW w:w="2008" w:type="dxa"/>
            <w:vAlign w:val="center"/>
          </w:tcPr>
          <w:p w14:paraId="53DD5D01" w14:textId="77777777" w:rsidR="003E7835" w:rsidRDefault="003E7835" w:rsidP="00F546DA">
            <w:r>
              <w:t>Developing TOR for the Road Map</w:t>
            </w:r>
          </w:p>
        </w:tc>
        <w:tc>
          <w:tcPr>
            <w:tcW w:w="1500" w:type="dxa"/>
            <w:vAlign w:val="center"/>
          </w:tcPr>
          <w:p w14:paraId="6E45DE1B" w14:textId="77777777" w:rsidR="003E7835" w:rsidRDefault="003E7835" w:rsidP="00F546DA">
            <w:r>
              <w:t>CBSL</w:t>
            </w:r>
          </w:p>
        </w:tc>
        <w:tc>
          <w:tcPr>
            <w:tcW w:w="494" w:type="dxa"/>
            <w:shd w:val="clear" w:color="auto" w:fill="BFBFBF" w:themeFill="background1" w:themeFillShade="BF"/>
            <w:vAlign w:val="center"/>
          </w:tcPr>
          <w:p w14:paraId="09669D7C" w14:textId="77777777" w:rsidR="003E7835" w:rsidRDefault="003E7835" w:rsidP="00F546DA">
            <w:pPr>
              <w:jc w:val="center"/>
            </w:pPr>
          </w:p>
        </w:tc>
        <w:tc>
          <w:tcPr>
            <w:tcW w:w="494" w:type="dxa"/>
            <w:vAlign w:val="center"/>
          </w:tcPr>
          <w:p w14:paraId="40B45246" w14:textId="77777777" w:rsidR="003E7835" w:rsidRDefault="003E7835" w:rsidP="00F546DA">
            <w:pPr>
              <w:jc w:val="center"/>
            </w:pPr>
          </w:p>
        </w:tc>
        <w:tc>
          <w:tcPr>
            <w:tcW w:w="494" w:type="dxa"/>
            <w:vAlign w:val="center"/>
          </w:tcPr>
          <w:p w14:paraId="60C5120E" w14:textId="77777777" w:rsidR="003E7835" w:rsidRDefault="003E7835" w:rsidP="00F546DA">
            <w:pPr>
              <w:jc w:val="center"/>
            </w:pPr>
          </w:p>
        </w:tc>
        <w:tc>
          <w:tcPr>
            <w:tcW w:w="494" w:type="dxa"/>
            <w:vAlign w:val="center"/>
          </w:tcPr>
          <w:p w14:paraId="03529FFF" w14:textId="77777777" w:rsidR="003E7835" w:rsidRDefault="003E7835" w:rsidP="00F546DA">
            <w:pPr>
              <w:jc w:val="center"/>
            </w:pPr>
          </w:p>
        </w:tc>
        <w:tc>
          <w:tcPr>
            <w:tcW w:w="494" w:type="dxa"/>
            <w:vAlign w:val="center"/>
          </w:tcPr>
          <w:p w14:paraId="13D0A53F" w14:textId="77777777" w:rsidR="003E7835" w:rsidRDefault="003E7835" w:rsidP="00F546DA">
            <w:pPr>
              <w:jc w:val="center"/>
            </w:pPr>
          </w:p>
        </w:tc>
        <w:tc>
          <w:tcPr>
            <w:tcW w:w="494" w:type="dxa"/>
            <w:vAlign w:val="center"/>
          </w:tcPr>
          <w:p w14:paraId="466030CA" w14:textId="77777777" w:rsidR="003E7835" w:rsidRDefault="003E7835" w:rsidP="00F546DA">
            <w:pPr>
              <w:jc w:val="center"/>
            </w:pPr>
          </w:p>
        </w:tc>
        <w:tc>
          <w:tcPr>
            <w:tcW w:w="494" w:type="dxa"/>
            <w:vAlign w:val="center"/>
          </w:tcPr>
          <w:p w14:paraId="733C8A20" w14:textId="77777777" w:rsidR="003E7835" w:rsidRDefault="003E7835" w:rsidP="00F546DA">
            <w:pPr>
              <w:jc w:val="center"/>
            </w:pPr>
          </w:p>
        </w:tc>
      </w:tr>
      <w:tr w:rsidR="003E7835" w14:paraId="5B4D8AAE" w14:textId="77777777" w:rsidTr="00200170">
        <w:tc>
          <w:tcPr>
            <w:tcW w:w="2051" w:type="dxa"/>
            <w:vMerge/>
            <w:vAlign w:val="center"/>
          </w:tcPr>
          <w:p w14:paraId="33F0F537" w14:textId="77777777" w:rsidR="003E7835" w:rsidRDefault="003E7835" w:rsidP="00F546DA"/>
        </w:tc>
        <w:tc>
          <w:tcPr>
            <w:tcW w:w="2008" w:type="dxa"/>
            <w:vAlign w:val="center"/>
          </w:tcPr>
          <w:p w14:paraId="3DFC01BE" w14:textId="77777777" w:rsidR="003E7835" w:rsidRDefault="003E7835" w:rsidP="00F546DA">
            <w:r>
              <w:t>Recruiting consultant and developing Road Map</w:t>
            </w:r>
          </w:p>
        </w:tc>
        <w:tc>
          <w:tcPr>
            <w:tcW w:w="1500" w:type="dxa"/>
            <w:vAlign w:val="center"/>
          </w:tcPr>
          <w:p w14:paraId="07DBA9CC" w14:textId="77777777" w:rsidR="003E7835" w:rsidRDefault="003E7835" w:rsidP="00F546DA">
            <w:r>
              <w:t>UNDP</w:t>
            </w:r>
          </w:p>
        </w:tc>
        <w:tc>
          <w:tcPr>
            <w:tcW w:w="494" w:type="dxa"/>
            <w:shd w:val="clear" w:color="auto" w:fill="BFBFBF" w:themeFill="background1" w:themeFillShade="BF"/>
            <w:vAlign w:val="center"/>
          </w:tcPr>
          <w:p w14:paraId="110DAD70" w14:textId="77777777" w:rsidR="003E7835" w:rsidRDefault="003E7835" w:rsidP="00F546DA">
            <w:pPr>
              <w:jc w:val="center"/>
            </w:pPr>
          </w:p>
        </w:tc>
        <w:tc>
          <w:tcPr>
            <w:tcW w:w="494" w:type="dxa"/>
            <w:shd w:val="clear" w:color="auto" w:fill="FFFFFF" w:themeFill="background1"/>
            <w:vAlign w:val="center"/>
          </w:tcPr>
          <w:p w14:paraId="54C34940" w14:textId="77777777" w:rsidR="003E7835" w:rsidRDefault="003E7835" w:rsidP="00F546DA">
            <w:pPr>
              <w:jc w:val="center"/>
            </w:pPr>
          </w:p>
        </w:tc>
        <w:tc>
          <w:tcPr>
            <w:tcW w:w="494" w:type="dxa"/>
            <w:vAlign w:val="center"/>
          </w:tcPr>
          <w:p w14:paraId="62DDF27E" w14:textId="77777777" w:rsidR="003E7835" w:rsidRDefault="003E7835" w:rsidP="00F546DA">
            <w:pPr>
              <w:jc w:val="center"/>
            </w:pPr>
          </w:p>
        </w:tc>
        <w:tc>
          <w:tcPr>
            <w:tcW w:w="494" w:type="dxa"/>
            <w:vAlign w:val="center"/>
          </w:tcPr>
          <w:p w14:paraId="77ACA83B" w14:textId="77777777" w:rsidR="003E7835" w:rsidRDefault="003E7835" w:rsidP="00F546DA">
            <w:pPr>
              <w:jc w:val="center"/>
            </w:pPr>
          </w:p>
        </w:tc>
        <w:tc>
          <w:tcPr>
            <w:tcW w:w="494" w:type="dxa"/>
            <w:vAlign w:val="center"/>
          </w:tcPr>
          <w:p w14:paraId="35BEE52E" w14:textId="77777777" w:rsidR="003E7835" w:rsidRDefault="003E7835" w:rsidP="00F546DA">
            <w:pPr>
              <w:jc w:val="center"/>
            </w:pPr>
          </w:p>
        </w:tc>
        <w:tc>
          <w:tcPr>
            <w:tcW w:w="494" w:type="dxa"/>
            <w:vAlign w:val="center"/>
          </w:tcPr>
          <w:p w14:paraId="776AF863" w14:textId="77777777" w:rsidR="003E7835" w:rsidRDefault="003E7835" w:rsidP="00F546DA">
            <w:pPr>
              <w:jc w:val="center"/>
            </w:pPr>
          </w:p>
        </w:tc>
        <w:tc>
          <w:tcPr>
            <w:tcW w:w="494" w:type="dxa"/>
            <w:vAlign w:val="center"/>
          </w:tcPr>
          <w:p w14:paraId="5DC7F6A2" w14:textId="77777777" w:rsidR="003E7835" w:rsidRDefault="003E7835" w:rsidP="00F546DA">
            <w:pPr>
              <w:jc w:val="center"/>
            </w:pPr>
          </w:p>
        </w:tc>
      </w:tr>
      <w:tr w:rsidR="003E7835" w14:paraId="3CCEA8B9" w14:textId="77777777" w:rsidTr="00200170">
        <w:tc>
          <w:tcPr>
            <w:tcW w:w="2051" w:type="dxa"/>
            <w:vMerge/>
            <w:vAlign w:val="center"/>
          </w:tcPr>
          <w:p w14:paraId="48CE0948" w14:textId="77777777" w:rsidR="003E7835" w:rsidRDefault="003E7835" w:rsidP="00F546DA"/>
        </w:tc>
        <w:tc>
          <w:tcPr>
            <w:tcW w:w="2008" w:type="dxa"/>
            <w:vAlign w:val="center"/>
          </w:tcPr>
          <w:p w14:paraId="2346E15B" w14:textId="77777777" w:rsidR="003E7835" w:rsidRDefault="003E7835" w:rsidP="00F546DA">
            <w:r>
              <w:t>Validation and approval by authorities</w:t>
            </w:r>
          </w:p>
        </w:tc>
        <w:tc>
          <w:tcPr>
            <w:tcW w:w="1500" w:type="dxa"/>
            <w:vAlign w:val="center"/>
          </w:tcPr>
          <w:p w14:paraId="71401D7F" w14:textId="77777777" w:rsidR="003E7835" w:rsidRDefault="003E7835" w:rsidP="00F546DA">
            <w:r>
              <w:t>CBSL</w:t>
            </w:r>
          </w:p>
        </w:tc>
        <w:tc>
          <w:tcPr>
            <w:tcW w:w="494" w:type="dxa"/>
            <w:shd w:val="clear" w:color="auto" w:fill="BFBFBF" w:themeFill="background1" w:themeFillShade="BF"/>
            <w:vAlign w:val="center"/>
          </w:tcPr>
          <w:p w14:paraId="43B88F3E" w14:textId="77777777" w:rsidR="003E7835" w:rsidRDefault="003E7835" w:rsidP="00F546DA">
            <w:pPr>
              <w:jc w:val="center"/>
            </w:pPr>
          </w:p>
        </w:tc>
        <w:tc>
          <w:tcPr>
            <w:tcW w:w="494" w:type="dxa"/>
            <w:shd w:val="clear" w:color="auto" w:fill="FFFFFF" w:themeFill="background1"/>
            <w:vAlign w:val="center"/>
          </w:tcPr>
          <w:p w14:paraId="1A5C0BFA" w14:textId="77777777" w:rsidR="003E7835" w:rsidRDefault="003E7835" w:rsidP="00F546DA">
            <w:pPr>
              <w:jc w:val="center"/>
            </w:pPr>
          </w:p>
        </w:tc>
        <w:tc>
          <w:tcPr>
            <w:tcW w:w="494" w:type="dxa"/>
            <w:vAlign w:val="center"/>
          </w:tcPr>
          <w:p w14:paraId="5844301D" w14:textId="77777777" w:rsidR="003E7835" w:rsidRDefault="003E7835" w:rsidP="00F546DA">
            <w:pPr>
              <w:jc w:val="center"/>
            </w:pPr>
          </w:p>
        </w:tc>
        <w:tc>
          <w:tcPr>
            <w:tcW w:w="494" w:type="dxa"/>
            <w:vAlign w:val="center"/>
          </w:tcPr>
          <w:p w14:paraId="4AF6AE83" w14:textId="77777777" w:rsidR="003E7835" w:rsidRDefault="003E7835" w:rsidP="00F546DA">
            <w:pPr>
              <w:jc w:val="center"/>
            </w:pPr>
          </w:p>
        </w:tc>
        <w:tc>
          <w:tcPr>
            <w:tcW w:w="494" w:type="dxa"/>
            <w:vAlign w:val="center"/>
          </w:tcPr>
          <w:p w14:paraId="7491B998" w14:textId="77777777" w:rsidR="003E7835" w:rsidRDefault="003E7835" w:rsidP="00F546DA">
            <w:pPr>
              <w:jc w:val="center"/>
            </w:pPr>
          </w:p>
        </w:tc>
        <w:tc>
          <w:tcPr>
            <w:tcW w:w="494" w:type="dxa"/>
            <w:vAlign w:val="center"/>
          </w:tcPr>
          <w:p w14:paraId="1589EC8A" w14:textId="77777777" w:rsidR="003E7835" w:rsidRDefault="003E7835" w:rsidP="00F546DA">
            <w:pPr>
              <w:jc w:val="center"/>
            </w:pPr>
          </w:p>
        </w:tc>
        <w:tc>
          <w:tcPr>
            <w:tcW w:w="494" w:type="dxa"/>
            <w:vAlign w:val="center"/>
          </w:tcPr>
          <w:p w14:paraId="67442865" w14:textId="77777777" w:rsidR="003E7835" w:rsidRDefault="003E7835" w:rsidP="00F546DA">
            <w:pPr>
              <w:jc w:val="center"/>
            </w:pPr>
          </w:p>
        </w:tc>
      </w:tr>
      <w:tr w:rsidR="003E7835" w14:paraId="09E10228" w14:textId="77777777" w:rsidTr="00200170">
        <w:tc>
          <w:tcPr>
            <w:tcW w:w="2051" w:type="dxa"/>
            <w:vMerge/>
            <w:vAlign w:val="center"/>
          </w:tcPr>
          <w:p w14:paraId="5F2B889D" w14:textId="77777777" w:rsidR="003E7835" w:rsidRDefault="003E7835" w:rsidP="00F546DA"/>
        </w:tc>
        <w:tc>
          <w:tcPr>
            <w:tcW w:w="2008" w:type="dxa"/>
            <w:vAlign w:val="center"/>
          </w:tcPr>
          <w:p w14:paraId="2424CCD9" w14:textId="77777777" w:rsidR="003E7835" w:rsidRDefault="003E7835" w:rsidP="00F546DA">
            <w:r>
              <w:t>Providing guidelines to the commercial banks</w:t>
            </w:r>
          </w:p>
        </w:tc>
        <w:tc>
          <w:tcPr>
            <w:tcW w:w="1500" w:type="dxa"/>
            <w:vAlign w:val="center"/>
          </w:tcPr>
          <w:p w14:paraId="32D36432" w14:textId="77777777" w:rsidR="003E7835" w:rsidRDefault="003E7835" w:rsidP="00F546DA">
            <w:r>
              <w:t>CBSL</w:t>
            </w:r>
          </w:p>
        </w:tc>
        <w:tc>
          <w:tcPr>
            <w:tcW w:w="494" w:type="dxa"/>
            <w:shd w:val="clear" w:color="auto" w:fill="BFBFBF" w:themeFill="background1" w:themeFillShade="BF"/>
            <w:vAlign w:val="center"/>
          </w:tcPr>
          <w:p w14:paraId="72B790F4" w14:textId="77777777" w:rsidR="003E7835" w:rsidRDefault="003E7835" w:rsidP="00F546DA">
            <w:pPr>
              <w:jc w:val="center"/>
            </w:pPr>
          </w:p>
        </w:tc>
        <w:tc>
          <w:tcPr>
            <w:tcW w:w="494" w:type="dxa"/>
            <w:shd w:val="clear" w:color="auto" w:fill="FFFFFF" w:themeFill="background1"/>
            <w:vAlign w:val="center"/>
          </w:tcPr>
          <w:p w14:paraId="0740C2BA" w14:textId="77777777" w:rsidR="003E7835" w:rsidRDefault="003E7835" w:rsidP="00F546DA">
            <w:pPr>
              <w:jc w:val="center"/>
            </w:pPr>
          </w:p>
        </w:tc>
        <w:tc>
          <w:tcPr>
            <w:tcW w:w="494" w:type="dxa"/>
            <w:vAlign w:val="center"/>
          </w:tcPr>
          <w:p w14:paraId="5A7B0434" w14:textId="77777777" w:rsidR="003E7835" w:rsidRDefault="003E7835" w:rsidP="00F546DA">
            <w:pPr>
              <w:jc w:val="center"/>
            </w:pPr>
          </w:p>
        </w:tc>
        <w:tc>
          <w:tcPr>
            <w:tcW w:w="494" w:type="dxa"/>
            <w:vAlign w:val="center"/>
          </w:tcPr>
          <w:p w14:paraId="3C5D264B" w14:textId="77777777" w:rsidR="003E7835" w:rsidRDefault="003E7835" w:rsidP="00F546DA">
            <w:pPr>
              <w:jc w:val="center"/>
            </w:pPr>
          </w:p>
        </w:tc>
        <w:tc>
          <w:tcPr>
            <w:tcW w:w="494" w:type="dxa"/>
            <w:vAlign w:val="center"/>
          </w:tcPr>
          <w:p w14:paraId="5C92D832" w14:textId="77777777" w:rsidR="003E7835" w:rsidRDefault="003E7835" w:rsidP="00F546DA">
            <w:pPr>
              <w:jc w:val="center"/>
            </w:pPr>
          </w:p>
        </w:tc>
        <w:tc>
          <w:tcPr>
            <w:tcW w:w="494" w:type="dxa"/>
            <w:vAlign w:val="center"/>
          </w:tcPr>
          <w:p w14:paraId="087CE4E9" w14:textId="77777777" w:rsidR="003E7835" w:rsidRDefault="003E7835" w:rsidP="00F546DA">
            <w:pPr>
              <w:jc w:val="center"/>
            </w:pPr>
          </w:p>
        </w:tc>
        <w:tc>
          <w:tcPr>
            <w:tcW w:w="494" w:type="dxa"/>
            <w:vAlign w:val="center"/>
          </w:tcPr>
          <w:p w14:paraId="3A6683F4" w14:textId="77777777" w:rsidR="003E7835" w:rsidRDefault="003E7835" w:rsidP="00F546DA">
            <w:pPr>
              <w:jc w:val="center"/>
            </w:pPr>
          </w:p>
        </w:tc>
      </w:tr>
      <w:tr w:rsidR="0010752B" w14:paraId="5D549722" w14:textId="77777777" w:rsidTr="00200170">
        <w:tc>
          <w:tcPr>
            <w:tcW w:w="2051" w:type="dxa"/>
            <w:vAlign w:val="center"/>
          </w:tcPr>
          <w:p w14:paraId="181C7C32" w14:textId="77777777" w:rsidR="0010752B" w:rsidRDefault="005A1133" w:rsidP="00F546DA">
            <w:r>
              <w:t>Capacity building</w:t>
            </w:r>
          </w:p>
        </w:tc>
        <w:tc>
          <w:tcPr>
            <w:tcW w:w="2008" w:type="dxa"/>
            <w:vAlign w:val="center"/>
          </w:tcPr>
          <w:p w14:paraId="17D53E77" w14:textId="77777777" w:rsidR="0010752B" w:rsidRDefault="00200170" w:rsidP="00F546DA">
            <w:r>
              <w:t>Training for the commercial banks</w:t>
            </w:r>
          </w:p>
        </w:tc>
        <w:tc>
          <w:tcPr>
            <w:tcW w:w="1500" w:type="dxa"/>
            <w:vAlign w:val="center"/>
          </w:tcPr>
          <w:p w14:paraId="6ACA2CD3" w14:textId="77777777" w:rsidR="0010752B" w:rsidRDefault="00200170" w:rsidP="00F546DA">
            <w:r>
              <w:t>UNDP</w:t>
            </w:r>
          </w:p>
        </w:tc>
        <w:tc>
          <w:tcPr>
            <w:tcW w:w="494" w:type="dxa"/>
            <w:shd w:val="clear" w:color="auto" w:fill="BFBFBF" w:themeFill="background1" w:themeFillShade="BF"/>
            <w:vAlign w:val="center"/>
          </w:tcPr>
          <w:p w14:paraId="6926936F" w14:textId="77777777" w:rsidR="0010752B" w:rsidRDefault="0010752B" w:rsidP="00F546DA">
            <w:pPr>
              <w:jc w:val="center"/>
            </w:pPr>
          </w:p>
        </w:tc>
        <w:tc>
          <w:tcPr>
            <w:tcW w:w="494" w:type="dxa"/>
            <w:shd w:val="clear" w:color="auto" w:fill="BFBFBF" w:themeFill="background1" w:themeFillShade="BF"/>
            <w:vAlign w:val="center"/>
          </w:tcPr>
          <w:p w14:paraId="07F3020A" w14:textId="77777777" w:rsidR="0010752B" w:rsidRDefault="0010752B" w:rsidP="00F546DA">
            <w:pPr>
              <w:jc w:val="center"/>
            </w:pPr>
          </w:p>
        </w:tc>
        <w:tc>
          <w:tcPr>
            <w:tcW w:w="494" w:type="dxa"/>
            <w:shd w:val="clear" w:color="auto" w:fill="FFFFFF" w:themeFill="background1"/>
            <w:vAlign w:val="center"/>
          </w:tcPr>
          <w:p w14:paraId="10A1DEA7" w14:textId="77777777" w:rsidR="0010752B" w:rsidRDefault="0010752B" w:rsidP="00F546DA">
            <w:pPr>
              <w:jc w:val="center"/>
            </w:pPr>
          </w:p>
        </w:tc>
        <w:tc>
          <w:tcPr>
            <w:tcW w:w="494" w:type="dxa"/>
            <w:shd w:val="clear" w:color="auto" w:fill="FFFFFF" w:themeFill="background1"/>
            <w:vAlign w:val="center"/>
          </w:tcPr>
          <w:p w14:paraId="2CE755CE" w14:textId="77777777" w:rsidR="0010752B" w:rsidRDefault="0010752B" w:rsidP="00F546DA">
            <w:pPr>
              <w:jc w:val="center"/>
            </w:pPr>
          </w:p>
        </w:tc>
        <w:tc>
          <w:tcPr>
            <w:tcW w:w="494" w:type="dxa"/>
            <w:vAlign w:val="center"/>
          </w:tcPr>
          <w:p w14:paraId="41D38EF6" w14:textId="77777777" w:rsidR="0010752B" w:rsidRDefault="0010752B" w:rsidP="00F546DA">
            <w:pPr>
              <w:jc w:val="center"/>
            </w:pPr>
          </w:p>
        </w:tc>
        <w:tc>
          <w:tcPr>
            <w:tcW w:w="494" w:type="dxa"/>
            <w:vAlign w:val="center"/>
          </w:tcPr>
          <w:p w14:paraId="6C204603" w14:textId="77777777" w:rsidR="0010752B" w:rsidRDefault="0010752B" w:rsidP="00F546DA">
            <w:pPr>
              <w:jc w:val="center"/>
            </w:pPr>
          </w:p>
        </w:tc>
        <w:tc>
          <w:tcPr>
            <w:tcW w:w="494" w:type="dxa"/>
            <w:vAlign w:val="center"/>
          </w:tcPr>
          <w:p w14:paraId="2D2AC858" w14:textId="77777777" w:rsidR="0010752B" w:rsidRDefault="0010752B" w:rsidP="00F546DA">
            <w:pPr>
              <w:jc w:val="center"/>
            </w:pPr>
          </w:p>
        </w:tc>
      </w:tr>
      <w:tr w:rsidR="00D97BD1" w14:paraId="0E102918" w14:textId="77777777" w:rsidTr="00200170">
        <w:tc>
          <w:tcPr>
            <w:tcW w:w="2051" w:type="dxa"/>
            <w:vAlign w:val="center"/>
          </w:tcPr>
          <w:p w14:paraId="120323C7" w14:textId="0F25D72D" w:rsidR="00D97BD1" w:rsidRDefault="00D97BD1" w:rsidP="00F546DA">
            <w:r>
              <w:t>Implementation</w:t>
            </w:r>
          </w:p>
        </w:tc>
        <w:tc>
          <w:tcPr>
            <w:tcW w:w="2008" w:type="dxa"/>
            <w:vAlign w:val="center"/>
          </w:tcPr>
          <w:p w14:paraId="1D803414" w14:textId="39BC901F" w:rsidR="00D97BD1" w:rsidRDefault="00D97BD1" w:rsidP="00F546DA">
            <w:r>
              <w:t>Application of Road Map in green lending</w:t>
            </w:r>
          </w:p>
        </w:tc>
        <w:tc>
          <w:tcPr>
            <w:tcW w:w="1500" w:type="dxa"/>
            <w:vAlign w:val="center"/>
          </w:tcPr>
          <w:p w14:paraId="5A5AB23D" w14:textId="11F1C6A3" w:rsidR="00D97BD1" w:rsidRDefault="00D97BD1" w:rsidP="00F546DA">
            <w:r>
              <w:t>Commercial Banks</w:t>
            </w:r>
          </w:p>
        </w:tc>
        <w:tc>
          <w:tcPr>
            <w:tcW w:w="494" w:type="dxa"/>
            <w:vAlign w:val="center"/>
          </w:tcPr>
          <w:p w14:paraId="6474B93B" w14:textId="77777777" w:rsidR="00D97BD1" w:rsidRDefault="00D97BD1" w:rsidP="00F546DA">
            <w:pPr>
              <w:jc w:val="center"/>
            </w:pPr>
          </w:p>
        </w:tc>
        <w:tc>
          <w:tcPr>
            <w:tcW w:w="494" w:type="dxa"/>
            <w:shd w:val="clear" w:color="auto" w:fill="BFBFBF" w:themeFill="background1" w:themeFillShade="BF"/>
            <w:vAlign w:val="center"/>
          </w:tcPr>
          <w:p w14:paraId="6CF2FBED" w14:textId="77777777" w:rsidR="00D97BD1" w:rsidRDefault="00D97BD1" w:rsidP="00F546DA">
            <w:pPr>
              <w:jc w:val="center"/>
            </w:pPr>
          </w:p>
        </w:tc>
        <w:tc>
          <w:tcPr>
            <w:tcW w:w="494" w:type="dxa"/>
            <w:vAlign w:val="center"/>
          </w:tcPr>
          <w:p w14:paraId="40B797BA" w14:textId="77777777" w:rsidR="00D97BD1" w:rsidRDefault="00D97BD1" w:rsidP="00F546DA">
            <w:pPr>
              <w:jc w:val="center"/>
            </w:pPr>
          </w:p>
        </w:tc>
        <w:tc>
          <w:tcPr>
            <w:tcW w:w="494" w:type="dxa"/>
            <w:vAlign w:val="center"/>
          </w:tcPr>
          <w:p w14:paraId="5E44924F" w14:textId="77777777" w:rsidR="00D97BD1" w:rsidRDefault="00D97BD1" w:rsidP="00F546DA">
            <w:pPr>
              <w:jc w:val="center"/>
            </w:pPr>
          </w:p>
        </w:tc>
        <w:tc>
          <w:tcPr>
            <w:tcW w:w="494" w:type="dxa"/>
            <w:vAlign w:val="center"/>
          </w:tcPr>
          <w:p w14:paraId="07ADD571" w14:textId="77777777" w:rsidR="00D97BD1" w:rsidRDefault="00D97BD1" w:rsidP="00F546DA">
            <w:pPr>
              <w:jc w:val="center"/>
            </w:pPr>
          </w:p>
        </w:tc>
        <w:tc>
          <w:tcPr>
            <w:tcW w:w="494" w:type="dxa"/>
            <w:vAlign w:val="center"/>
          </w:tcPr>
          <w:p w14:paraId="32E20361" w14:textId="77777777" w:rsidR="00D97BD1" w:rsidRDefault="00D97BD1" w:rsidP="00F546DA">
            <w:pPr>
              <w:jc w:val="center"/>
            </w:pPr>
          </w:p>
        </w:tc>
        <w:tc>
          <w:tcPr>
            <w:tcW w:w="494" w:type="dxa"/>
            <w:vAlign w:val="center"/>
          </w:tcPr>
          <w:p w14:paraId="23A863FA" w14:textId="77777777" w:rsidR="00D97BD1" w:rsidRDefault="00D97BD1" w:rsidP="00F546DA">
            <w:pPr>
              <w:jc w:val="center"/>
            </w:pPr>
          </w:p>
        </w:tc>
      </w:tr>
      <w:tr w:rsidR="00200170" w14:paraId="6DB29E79" w14:textId="77777777" w:rsidTr="00200170">
        <w:tc>
          <w:tcPr>
            <w:tcW w:w="2051" w:type="dxa"/>
            <w:vAlign w:val="center"/>
          </w:tcPr>
          <w:p w14:paraId="1136D1EA" w14:textId="77777777" w:rsidR="00200170" w:rsidRDefault="00200170" w:rsidP="00F546DA">
            <w:r>
              <w:t>Monitoring and evaluation</w:t>
            </w:r>
          </w:p>
        </w:tc>
        <w:tc>
          <w:tcPr>
            <w:tcW w:w="2008" w:type="dxa"/>
            <w:vAlign w:val="center"/>
          </w:tcPr>
          <w:p w14:paraId="7F1FBA52" w14:textId="77777777" w:rsidR="00200170" w:rsidRDefault="00200170" w:rsidP="00F546DA">
            <w:r>
              <w:t>Monitoring and evaluation activities</w:t>
            </w:r>
          </w:p>
        </w:tc>
        <w:tc>
          <w:tcPr>
            <w:tcW w:w="1500" w:type="dxa"/>
            <w:vAlign w:val="center"/>
          </w:tcPr>
          <w:p w14:paraId="7F3BE474" w14:textId="4C12E288" w:rsidR="00200170" w:rsidRDefault="00200170" w:rsidP="00F546DA">
            <w:r>
              <w:t>CBSL</w:t>
            </w:r>
            <w:r w:rsidR="007669CF">
              <w:t>, BIOFIN</w:t>
            </w:r>
          </w:p>
        </w:tc>
        <w:tc>
          <w:tcPr>
            <w:tcW w:w="494" w:type="dxa"/>
            <w:vAlign w:val="center"/>
          </w:tcPr>
          <w:p w14:paraId="37B84255" w14:textId="77777777" w:rsidR="00200170" w:rsidRDefault="00200170" w:rsidP="00F546DA">
            <w:pPr>
              <w:jc w:val="center"/>
            </w:pPr>
          </w:p>
        </w:tc>
        <w:tc>
          <w:tcPr>
            <w:tcW w:w="494" w:type="dxa"/>
            <w:shd w:val="clear" w:color="auto" w:fill="BFBFBF" w:themeFill="background1" w:themeFillShade="BF"/>
            <w:vAlign w:val="center"/>
          </w:tcPr>
          <w:p w14:paraId="32D58B06" w14:textId="77777777" w:rsidR="00200170" w:rsidRDefault="00200170" w:rsidP="00F546DA">
            <w:pPr>
              <w:jc w:val="center"/>
            </w:pPr>
          </w:p>
        </w:tc>
        <w:tc>
          <w:tcPr>
            <w:tcW w:w="494" w:type="dxa"/>
            <w:vAlign w:val="center"/>
          </w:tcPr>
          <w:p w14:paraId="45433E58" w14:textId="77777777" w:rsidR="00200170" w:rsidRDefault="00200170" w:rsidP="00F546DA">
            <w:pPr>
              <w:jc w:val="center"/>
            </w:pPr>
          </w:p>
        </w:tc>
        <w:tc>
          <w:tcPr>
            <w:tcW w:w="494" w:type="dxa"/>
            <w:vAlign w:val="center"/>
          </w:tcPr>
          <w:p w14:paraId="3FBB95A7" w14:textId="77777777" w:rsidR="00200170" w:rsidRDefault="00200170" w:rsidP="00F546DA">
            <w:pPr>
              <w:jc w:val="center"/>
            </w:pPr>
          </w:p>
        </w:tc>
        <w:tc>
          <w:tcPr>
            <w:tcW w:w="494" w:type="dxa"/>
            <w:vAlign w:val="center"/>
          </w:tcPr>
          <w:p w14:paraId="1A68FFC9" w14:textId="77777777" w:rsidR="00200170" w:rsidRDefault="00200170" w:rsidP="00F546DA">
            <w:pPr>
              <w:jc w:val="center"/>
            </w:pPr>
          </w:p>
        </w:tc>
        <w:tc>
          <w:tcPr>
            <w:tcW w:w="494" w:type="dxa"/>
            <w:vAlign w:val="center"/>
          </w:tcPr>
          <w:p w14:paraId="49298CDF" w14:textId="77777777" w:rsidR="00200170" w:rsidRDefault="00200170" w:rsidP="00F546DA">
            <w:pPr>
              <w:jc w:val="center"/>
            </w:pPr>
          </w:p>
        </w:tc>
        <w:tc>
          <w:tcPr>
            <w:tcW w:w="494" w:type="dxa"/>
            <w:vAlign w:val="center"/>
          </w:tcPr>
          <w:p w14:paraId="5A0E3275" w14:textId="77777777" w:rsidR="00200170" w:rsidRDefault="00200170" w:rsidP="00F546DA">
            <w:pPr>
              <w:jc w:val="center"/>
            </w:pPr>
          </w:p>
        </w:tc>
      </w:tr>
      <w:tr w:rsidR="00200170" w14:paraId="62FA8A76" w14:textId="77777777" w:rsidTr="00200170">
        <w:tc>
          <w:tcPr>
            <w:tcW w:w="2051" w:type="dxa"/>
            <w:vAlign w:val="center"/>
          </w:tcPr>
          <w:p w14:paraId="78767E57" w14:textId="77777777" w:rsidR="00200170" w:rsidRDefault="00200170" w:rsidP="00F546DA">
            <w:r>
              <w:t>Budget</w:t>
            </w:r>
          </w:p>
        </w:tc>
        <w:tc>
          <w:tcPr>
            <w:tcW w:w="6966" w:type="dxa"/>
            <w:gridSpan w:val="9"/>
            <w:vAlign w:val="center"/>
          </w:tcPr>
          <w:p w14:paraId="74D9CF81" w14:textId="77777777" w:rsidR="00200170" w:rsidRDefault="00CF47A0" w:rsidP="00200170">
            <w:r>
              <w:t>US$ 10</w:t>
            </w:r>
            <w:r w:rsidR="00AF43A4">
              <w:t>0,000</w:t>
            </w:r>
          </w:p>
        </w:tc>
      </w:tr>
      <w:tr w:rsidR="00200170" w14:paraId="49329C50" w14:textId="77777777" w:rsidTr="00F546DA">
        <w:tc>
          <w:tcPr>
            <w:tcW w:w="2051" w:type="dxa"/>
            <w:vAlign w:val="center"/>
          </w:tcPr>
          <w:p w14:paraId="409EC1C9" w14:textId="77777777" w:rsidR="00200170" w:rsidRDefault="00200170" w:rsidP="00F546DA">
            <w:r>
              <w:t>Financial result</w:t>
            </w:r>
          </w:p>
        </w:tc>
        <w:tc>
          <w:tcPr>
            <w:tcW w:w="6966" w:type="dxa"/>
            <w:gridSpan w:val="9"/>
            <w:vAlign w:val="center"/>
          </w:tcPr>
          <w:p w14:paraId="257D0B98" w14:textId="02AD988D" w:rsidR="00200170" w:rsidRDefault="00AF43A4" w:rsidP="003513AE">
            <w:r>
              <w:t xml:space="preserve">US$ </w:t>
            </w:r>
            <w:r w:rsidR="003513AE">
              <w:t>16</w:t>
            </w:r>
            <w:r>
              <w:t xml:space="preserve"> million per annum</w:t>
            </w:r>
            <w:r w:rsidR="003513AE">
              <w:t>; US$ 96</w:t>
            </w:r>
            <w:r w:rsidR="00A72B88">
              <w:t xml:space="preserve"> million for 2019-2024</w:t>
            </w:r>
          </w:p>
        </w:tc>
      </w:tr>
    </w:tbl>
    <w:p w14:paraId="4CAB69C1" w14:textId="77777777" w:rsidR="000B7821" w:rsidRDefault="000B7821" w:rsidP="00BB5D98">
      <w:pPr>
        <w:jc w:val="both"/>
      </w:pPr>
    </w:p>
    <w:p w14:paraId="6704F37E" w14:textId="77777777" w:rsidR="008C7E04" w:rsidRPr="00096769" w:rsidRDefault="008F32D3" w:rsidP="00096769">
      <w:pPr>
        <w:pStyle w:val="Heading4"/>
      </w:pPr>
      <w:r w:rsidRPr="00096769">
        <w:t>4. Corporate Social Responsibility</w:t>
      </w:r>
      <w:r w:rsidR="00AD3E38" w:rsidRPr="00096769">
        <w:t xml:space="preserve"> and its increased share in biodiversity conservation</w:t>
      </w:r>
    </w:p>
    <w:p w14:paraId="43FE1592" w14:textId="57CC594F" w:rsidR="008571F1" w:rsidRDefault="008571F1" w:rsidP="00AD0F77">
      <w:pPr>
        <w:jc w:val="both"/>
      </w:pPr>
      <w:r>
        <w:t>The finance solution is aimed at e</w:t>
      </w:r>
      <w:r w:rsidR="00AD0F77" w:rsidRPr="00AD0F77">
        <w:t>nsuring an increased share of Corporate Social Responsibility (CSR) allocation on biodiversity conservation</w:t>
      </w:r>
      <w:r w:rsidR="00CA6D5B">
        <w:t xml:space="preserve"> and establishing ecological approaches to all CSR activities</w:t>
      </w:r>
      <w:r>
        <w:t xml:space="preserve">. </w:t>
      </w:r>
    </w:p>
    <w:p w14:paraId="058E51FE" w14:textId="77777777" w:rsidR="00F23C73" w:rsidRDefault="00F23C73" w:rsidP="00AD0F77">
      <w:pPr>
        <w:jc w:val="both"/>
      </w:pPr>
      <w:r>
        <w:t>Objective</w:t>
      </w:r>
    </w:p>
    <w:p w14:paraId="3FEC297B" w14:textId="245BC016" w:rsidR="00F23C73" w:rsidRDefault="00F23C73" w:rsidP="00AD0F77">
      <w:pPr>
        <w:jc w:val="both"/>
      </w:pPr>
      <w:r>
        <w:t xml:space="preserve">To encourage the corporate sector to ensure a minimum share of </w:t>
      </w:r>
      <w:r w:rsidR="00F56D3B">
        <w:t xml:space="preserve">the </w:t>
      </w:r>
      <w:r>
        <w:t>CSR allocation f</w:t>
      </w:r>
      <w:r w:rsidR="00F56D3B">
        <w:t>or conservation of biodiversity</w:t>
      </w:r>
      <w:r w:rsidR="00CA6D5B">
        <w:t xml:space="preserve"> and to follow the ecological approaches to their all types of CSR activities</w:t>
      </w:r>
      <w:r w:rsidR="00F56D3B">
        <w:t>.</w:t>
      </w:r>
      <w:r>
        <w:t xml:space="preserve"> </w:t>
      </w:r>
    </w:p>
    <w:p w14:paraId="620033F7" w14:textId="77777777" w:rsidR="008571F1" w:rsidRDefault="008571F1" w:rsidP="00AD0F77">
      <w:pPr>
        <w:jc w:val="both"/>
      </w:pPr>
      <w:r w:rsidRPr="008571F1">
        <w:t>Description</w:t>
      </w:r>
    </w:p>
    <w:p w14:paraId="3CD6743B" w14:textId="7B9B0094" w:rsidR="00AD0F77" w:rsidRDefault="00AD0F77" w:rsidP="00AD0F77">
      <w:pPr>
        <w:jc w:val="both"/>
      </w:pPr>
      <w:r>
        <w:t>Th</w:t>
      </w:r>
      <w:r w:rsidR="008571F1">
        <w:t>e proposed finance</w:t>
      </w:r>
      <w:r>
        <w:t xml:space="preserve"> solution </w:t>
      </w:r>
      <w:r w:rsidR="008571F1">
        <w:t>is</w:t>
      </w:r>
      <w:r>
        <w:t xml:space="preserve"> for implementation</w:t>
      </w:r>
      <w:r w:rsidR="00D7421D">
        <w:t xml:space="preserve">. The proposal </w:t>
      </w:r>
      <w:proofErr w:type="gramStart"/>
      <w:r w:rsidR="00D7421D">
        <w:t>is considered to be</w:t>
      </w:r>
      <w:proofErr w:type="gramEnd"/>
      <w:r w:rsidR="00D7421D">
        <w:t xml:space="preserve"> less costly on the one hand and, easier to implement on the other hand. It requires </w:t>
      </w:r>
      <w:r w:rsidR="008571F1">
        <w:t xml:space="preserve">a facilitating role </w:t>
      </w:r>
      <w:r w:rsidR="00D7421D">
        <w:t>to be played by the government agencies</w:t>
      </w:r>
      <w:r w:rsidR="008571F1">
        <w:t>.</w:t>
      </w:r>
    </w:p>
    <w:p w14:paraId="4C8E5F4B" w14:textId="09A3CCB6" w:rsidR="00BA55F1" w:rsidRDefault="00863550" w:rsidP="008571F1">
      <w:pPr>
        <w:jc w:val="both"/>
      </w:pPr>
      <w:r>
        <w:rPr>
          <w:noProof/>
          <w:lang w:val="en-AU" w:eastAsia="en-AU" w:bidi="si-LK"/>
        </w:rPr>
        <mc:AlternateContent>
          <mc:Choice Requires="wps">
            <w:drawing>
              <wp:anchor distT="45720" distB="45720" distL="114300" distR="114300" simplePos="0" relativeHeight="251661312" behindDoc="0" locked="0" layoutInCell="1" allowOverlap="1" wp14:anchorId="1E944180" wp14:editId="12F7EEAC">
                <wp:simplePos x="0" y="0"/>
                <wp:positionH relativeFrom="margin">
                  <wp:align>left</wp:align>
                </wp:positionH>
                <wp:positionV relativeFrom="paragraph">
                  <wp:posOffset>753110</wp:posOffset>
                </wp:positionV>
                <wp:extent cx="2360930" cy="1404620"/>
                <wp:effectExtent l="0" t="0" r="1206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C1641F" w14:textId="77777777" w:rsidR="00791098" w:rsidRPr="00863550" w:rsidRDefault="00791098" w:rsidP="00863550">
                            <w:pPr>
                              <w:spacing w:before="240"/>
                              <w:jc w:val="center"/>
                              <w:rPr>
                                <w:color w:val="767171" w:themeColor="background2" w:themeShade="80"/>
                                <w:sz w:val="32"/>
                              </w:rPr>
                            </w:pPr>
                            <w:r w:rsidRPr="00863550">
                              <w:rPr>
                                <w:color w:val="767171" w:themeColor="background2" w:themeShade="80"/>
                                <w:sz w:val="32"/>
                              </w:rPr>
                              <w:t>BIODIVERSITY SRI LANKA</w:t>
                            </w:r>
                          </w:p>
                          <w:p w14:paraId="4EEF16FE" w14:textId="77777777" w:rsidR="00791098" w:rsidRDefault="00791098" w:rsidP="00863550">
                            <w:pPr>
                              <w:jc w:val="both"/>
                              <w:rPr>
                                <w:color w:val="767171" w:themeColor="background2" w:themeShade="80"/>
                              </w:rPr>
                            </w:pPr>
                            <w:r w:rsidRPr="00863550">
                              <w:rPr>
                                <w:color w:val="767171" w:themeColor="background2" w:themeShade="80"/>
                              </w:rPr>
                              <w:t>Biodiversity Sri Lanka (BSL) is a national platform entirely owned and driven by the private sector</w:t>
                            </w:r>
                            <w:r>
                              <w:rPr>
                                <w:color w:val="767171" w:themeColor="background2" w:themeShade="80"/>
                              </w:rPr>
                              <w:t xml:space="preserve">. It was initiated in 2012 by </w:t>
                            </w:r>
                            <w:r w:rsidRPr="004253A9">
                              <w:rPr>
                                <w:color w:val="767171" w:themeColor="background2" w:themeShade="80"/>
                              </w:rPr>
                              <w:t xml:space="preserve">the Ceylon Chamber of Commerce (CCC), </w:t>
                            </w:r>
                            <w:proofErr w:type="spellStart"/>
                            <w:r w:rsidRPr="004253A9">
                              <w:rPr>
                                <w:color w:val="767171" w:themeColor="background2" w:themeShade="80"/>
                              </w:rPr>
                              <w:t>Dilmah</w:t>
                            </w:r>
                            <w:proofErr w:type="spellEnd"/>
                            <w:r w:rsidRPr="004253A9">
                              <w:rPr>
                                <w:color w:val="767171" w:themeColor="background2" w:themeShade="80"/>
                              </w:rPr>
                              <w:t xml:space="preserve"> Conservation (DC) and, the International Union for Conservation of Nature (IUCN) and, incorporated as a Not-for-Profit Company Limited in 2015.</w:t>
                            </w:r>
                            <w:r>
                              <w:rPr>
                                <w:color w:val="767171" w:themeColor="background2" w:themeShade="80"/>
                              </w:rPr>
                              <w:t xml:space="preserve"> </w:t>
                            </w:r>
                          </w:p>
                          <w:p w14:paraId="776E434B" w14:textId="7EA9B2F2" w:rsidR="00791098" w:rsidRPr="00863550" w:rsidRDefault="00791098" w:rsidP="00863550">
                            <w:pPr>
                              <w:jc w:val="both"/>
                              <w:rPr>
                                <w:color w:val="767171" w:themeColor="background2" w:themeShade="80"/>
                              </w:rPr>
                            </w:pPr>
                            <w:r>
                              <w:rPr>
                                <w:color w:val="767171" w:themeColor="background2" w:themeShade="80"/>
                              </w:rPr>
                              <w:t xml:space="preserve">BSL was </w:t>
                            </w:r>
                            <w:r w:rsidRPr="00863550">
                              <w:rPr>
                                <w:color w:val="767171" w:themeColor="background2" w:themeShade="80"/>
                              </w:rPr>
                              <w:t xml:space="preserve">established to promote engagement of the corporate sector in biodiversity and environmental conservation in Sri Lanka. As of </w:t>
                            </w:r>
                            <w:proofErr w:type="gramStart"/>
                            <w:r w:rsidRPr="00863550">
                              <w:rPr>
                                <w:color w:val="767171" w:themeColor="background2" w:themeShade="80"/>
                              </w:rPr>
                              <w:t>today</w:t>
                            </w:r>
                            <w:proofErr w:type="gramEnd"/>
                            <w:r w:rsidRPr="00863550">
                              <w:rPr>
                                <w:color w:val="767171" w:themeColor="background2" w:themeShade="80"/>
                              </w:rPr>
                              <w:t xml:space="preserve"> BSL membership includes 80 corporates </w:t>
                            </w:r>
                            <w:r>
                              <w:rPr>
                                <w:color w:val="767171" w:themeColor="background2" w:themeShade="80"/>
                              </w:rPr>
                              <w:t xml:space="preserve">operating in Sri Lanka, </w:t>
                            </w:r>
                            <w:r w:rsidRPr="00863550">
                              <w:rPr>
                                <w:color w:val="767171" w:themeColor="background2" w:themeShade="80"/>
                              </w:rPr>
                              <w:t xml:space="preserve">representing diverse industry groups and engaging in diverse biodiversity conservation projects in </w:t>
                            </w:r>
                            <w:r>
                              <w:rPr>
                                <w:color w:val="767171" w:themeColor="background2" w:themeShade="80"/>
                              </w:rPr>
                              <w:t>the country</w:t>
                            </w:r>
                            <w:r w:rsidRPr="00863550">
                              <w:rPr>
                                <w:color w:val="767171" w:themeColor="background2" w:themeShade="8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944180" id="_x0000_s1027" type="#_x0000_t202" style="position:absolute;left:0;text-align:left;margin-left:0;margin-top:59.3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8s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QYpjG&#10;Ej2KIZB3MJAiqtNbX2LQg8WwMOAxVjll6u098O+eGNh0zOzErXPQd4I1yG4ab2YXV0ccH0Hq/hM0&#10;+AzbB0hAQ+t0lA7FIIiOVTqeKxOpcDwsrhb58gpdHH3TWT5bFKl2GSufrlvnwwcBmsRNRR2WPsGz&#10;w70PkQ4rn0Liax6UbLZSqWS4Xb1RjhwYtsk2fSmDF2HKkL6iy3kxHxX4K0Sevj9BaBmw35XUFb0+&#10;B7Ey6vbeNKkbA5Nq3CNlZU5CRu1GFcNQD6liSeUocg3NEZV1MLY3jiNuOnA/KemxtSvqf+yZE5So&#10;jwars5zOZnEWkjGbv0Upibv01JceZjhCVTRQMm43Ic1P0s3eYhW3Mun7zOREGVs2yX4arzgTl3aK&#10;ev4JrH8BAAD//wMAUEsDBBQABgAIAAAAIQDvh7k/4AAAAA0BAAAPAAAAZHJzL2Rvd25yZXYueG1s&#10;TI9BT8MwDIXvSPyHyEjcWNoNla5rOk0FrpO2IXH1Gq8tNElp0q78e8wJLpbtJz+/L9/OphMTDb51&#10;VkG8iECQrZxuba3g7fT6kILwAa3GzllS8E0etsXtTY6Zdld7oOkYasEm1meooAmhz6T0VUMG/cL1&#10;ZFm7uMFg4HGopR7wyuamk8soSqTB1vKHBnsqG6o+j6NRMJ7K3XQolx/v014/7pMXNNh9KXV/Nz9v&#10;uOw2IALN4e8Cfhk4PxQc7OxGq73oFDBN4G2cJiBYXj3FjHPmZrVOQRa5/E9R/AAAAP//AwBQSwEC&#10;LQAUAAYACAAAACEAtoM4kv4AAADhAQAAEwAAAAAAAAAAAAAAAAAAAAAAW0NvbnRlbnRfVHlwZXNd&#10;LnhtbFBLAQItABQABgAIAAAAIQA4/SH/1gAAAJQBAAALAAAAAAAAAAAAAAAAAC8BAABfcmVscy8u&#10;cmVsc1BLAQItABQABgAIAAAAIQBRDv8sJgIAAEwEAAAOAAAAAAAAAAAAAAAAAC4CAABkcnMvZTJv&#10;RG9jLnhtbFBLAQItABQABgAIAAAAIQDvh7k/4AAAAA0BAAAPAAAAAAAAAAAAAAAAAIAEAABkcnMv&#10;ZG93bnJldi54bWxQSwUGAAAAAAQABADzAAAAjQUAAAAA&#10;">
                <v:textbox style="mso-fit-shape-to-text:t">
                  <w:txbxContent>
                    <w:p w14:paraId="06C1641F" w14:textId="77777777" w:rsidR="00791098" w:rsidRPr="00863550" w:rsidRDefault="00791098" w:rsidP="00863550">
                      <w:pPr>
                        <w:spacing w:before="240"/>
                        <w:jc w:val="center"/>
                        <w:rPr>
                          <w:color w:val="767171" w:themeColor="background2" w:themeShade="80"/>
                          <w:sz w:val="32"/>
                        </w:rPr>
                      </w:pPr>
                      <w:r w:rsidRPr="00863550">
                        <w:rPr>
                          <w:color w:val="767171" w:themeColor="background2" w:themeShade="80"/>
                          <w:sz w:val="32"/>
                        </w:rPr>
                        <w:t>BIODIVERSITY SRI LANKA</w:t>
                      </w:r>
                    </w:p>
                    <w:p w14:paraId="4EEF16FE" w14:textId="77777777" w:rsidR="00791098" w:rsidRDefault="00791098" w:rsidP="00863550">
                      <w:pPr>
                        <w:jc w:val="both"/>
                        <w:rPr>
                          <w:color w:val="767171" w:themeColor="background2" w:themeShade="80"/>
                        </w:rPr>
                      </w:pPr>
                      <w:r w:rsidRPr="00863550">
                        <w:rPr>
                          <w:color w:val="767171" w:themeColor="background2" w:themeShade="80"/>
                        </w:rPr>
                        <w:t>Biodiversity Sri Lanka (BSL) is a national platform entirely owned and driven by the private sector</w:t>
                      </w:r>
                      <w:r>
                        <w:rPr>
                          <w:color w:val="767171" w:themeColor="background2" w:themeShade="80"/>
                        </w:rPr>
                        <w:t xml:space="preserve">. It was initiated in 2012 by </w:t>
                      </w:r>
                      <w:r w:rsidRPr="004253A9">
                        <w:rPr>
                          <w:color w:val="767171" w:themeColor="background2" w:themeShade="80"/>
                        </w:rPr>
                        <w:t xml:space="preserve">the Ceylon Chamber of Commerce (CCC), </w:t>
                      </w:r>
                      <w:proofErr w:type="spellStart"/>
                      <w:r w:rsidRPr="004253A9">
                        <w:rPr>
                          <w:color w:val="767171" w:themeColor="background2" w:themeShade="80"/>
                        </w:rPr>
                        <w:t>Dilmah</w:t>
                      </w:r>
                      <w:proofErr w:type="spellEnd"/>
                      <w:r w:rsidRPr="004253A9">
                        <w:rPr>
                          <w:color w:val="767171" w:themeColor="background2" w:themeShade="80"/>
                        </w:rPr>
                        <w:t xml:space="preserve"> Conservation (DC) and, the International Union for Conservation of Nature (IUCN) and, incorporated as a Not-for-Profit Company Limited in 2015.</w:t>
                      </w:r>
                      <w:r>
                        <w:rPr>
                          <w:color w:val="767171" w:themeColor="background2" w:themeShade="80"/>
                        </w:rPr>
                        <w:t xml:space="preserve"> </w:t>
                      </w:r>
                    </w:p>
                    <w:p w14:paraId="776E434B" w14:textId="7EA9B2F2" w:rsidR="00791098" w:rsidRPr="00863550" w:rsidRDefault="00791098" w:rsidP="00863550">
                      <w:pPr>
                        <w:jc w:val="both"/>
                        <w:rPr>
                          <w:color w:val="767171" w:themeColor="background2" w:themeShade="80"/>
                        </w:rPr>
                      </w:pPr>
                      <w:r>
                        <w:rPr>
                          <w:color w:val="767171" w:themeColor="background2" w:themeShade="80"/>
                        </w:rPr>
                        <w:t xml:space="preserve">BSL was </w:t>
                      </w:r>
                      <w:r w:rsidRPr="00863550">
                        <w:rPr>
                          <w:color w:val="767171" w:themeColor="background2" w:themeShade="80"/>
                        </w:rPr>
                        <w:t xml:space="preserve">established to promote engagement of the corporate sector in biodiversity and environmental conservation in Sri Lanka. As of today BSL membership includes 80 corporates </w:t>
                      </w:r>
                      <w:r>
                        <w:rPr>
                          <w:color w:val="767171" w:themeColor="background2" w:themeShade="80"/>
                        </w:rPr>
                        <w:t xml:space="preserve">operating in Sri Lanka, </w:t>
                      </w:r>
                      <w:r w:rsidRPr="00863550">
                        <w:rPr>
                          <w:color w:val="767171" w:themeColor="background2" w:themeShade="80"/>
                        </w:rPr>
                        <w:t xml:space="preserve">representing diverse industry groups and engaging in diverse biodiversity conservation projects in </w:t>
                      </w:r>
                      <w:r>
                        <w:rPr>
                          <w:color w:val="767171" w:themeColor="background2" w:themeShade="80"/>
                        </w:rPr>
                        <w:t>the country</w:t>
                      </w:r>
                      <w:r w:rsidRPr="00863550">
                        <w:rPr>
                          <w:color w:val="767171" w:themeColor="background2" w:themeShade="80"/>
                        </w:rPr>
                        <w:t>.</w:t>
                      </w:r>
                    </w:p>
                  </w:txbxContent>
                </v:textbox>
                <w10:wrap type="square" anchorx="margin"/>
              </v:shape>
            </w:pict>
          </mc:Fallback>
        </mc:AlternateContent>
      </w:r>
      <w:r w:rsidR="008571F1">
        <w:t>The corporate sector in Sri Lanka as elsewhere, is involved in CSR activities</w:t>
      </w:r>
      <w:r w:rsidR="00A67C80">
        <w:rPr>
          <w:rStyle w:val="FootnoteReference"/>
        </w:rPr>
        <w:footnoteReference w:id="2"/>
      </w:r>
      <w:r w:rsidR="008571F1">
        <w:t xml:space="preserve"> for which they allocate part of their annual budget</w:t>
      </w:r>
      <w:r w:rsidR="00BA55F1">
        <w:t>, although data on such activities are not readily available</w:t>
      </w:r>
      <w:r w:rsidR="008571F1">
        <w:t xml:space="preserve">. The </w:t>
      </w:r>
      <w:r w:rsidR="00BA55F1">
        <w:t xml:space="preserve">CSR </w:t>
      </w:r>
      <w:r w:rsidR="008571F1">
        <w:t xml:space="preserve">activities are diverse in focus, but the most common ones are related to social </w:t>
      </w:r>
      <w:proofErr w:type="spellStart"/>
      <w:r w:rsidR="008571F1">
        <w:t>programmes</w:t>
      </w:r>
      <w:proofErr w:type="spellEnd"/>
      <w:r w:rsidR="00BA55F1">
        <w:t xml:space="preserve"> such as health projects, educational projects, supporting sport activities, supporting vulnerable groups, subsidy </w:t>
      </w:r>
      <w:proofErr w:type="spellStart"/>
      <w:r w:rsidR="00BA55F1">
        <w:t>programmes</w:t>
      </w:r>
      <w:proofErr w:type="spellEnd"/>
      <w:r w:rsidR="00BA55F1">
        <w:t>, and religious activities</w:t>
      </w:r>
      <w:r w:rsidR="008571F1">
        <w:t xml:space="preserve">. </w:t>
      </w:r>
      <w:r w:rsidR="00CA6D5B">
        <w:t xml:space="preserve">However, these activities are also not necessarily guided by </w:t>
      </w:r>
      <w:r w:rsidR="008C4860">
        <w:t xml:space="preserve">established ecological norms and standards; </w:t>
      </w:r>
      <w:r w:rsidR="00CA6D5B">
        <w:t xml:space="preserve">for instance, introduction of invasive flora and fauna species or the use of environmentally harmful </w:t>
      </w:r>
      <w:r w:rsidR="008C4860">
        <w:t xml:space="preserve">activities or material in CSR </w:t>
      </w:r>
      <w:proofErr w:type="spellStart"/>
      <w:r w:rsidR="008C4860">
        <w:t>programmes</w:t>
      </w:r>
      <w:proofErr w:type="spellEnd"/>
      <w:r w:rsidR="008C4860">
        <w:t>.</w:t>
      </w:r>
    </w:p>
    <w:p w14:paraId="0A35CBAF" w14:textId="4F5A8DA2" w:rsidR="008571F1" w:rsidRDefault="00BA55F1" w:rsidP="008571F1">
      <w:pPr>
        <w:jc w:val="both"/>
      </w:pPr>
      <w:r>
        <w:t>B</w:t>
      </w:r>
      <w:r w:rsidR="008571F1">
        <w:t xml:space="preserve">iodiversity or environment is not among the most common </w:t>
      </w:r>
      <w:r w:rsidR="008C4860">
        <w:t xml:space="preserve">CSR </w:t>
      </w:r>
      <w:proofErr w:type="spellStart"/>
      <w:r w:rsidR="008571F1">
        <w:t>programmes</w:t>
      </w:r>
      <w:proofErr w:type="spellEnd"/>
      <w:r>
        <w:t>.</w:t>
      </w:r>
      <w:r w:rsidR="008571F1">
        <w:t xml:space="preserve"> </w:t>
      </w:r>
      <w:r>
        <w:t xml:space="preserve">However, these </w:t>
      </w:r>
      <w:proofErr w:type="spellStart"/>
      <w:r>
        <w:t>programmes</w:t>
      </w:r>
      <w:proofErr w:type="spellEnd"/>
      <w:r>
        <w:t xml:space="preserve"> have</w:t>
      </w:r>
      <w:r w:rsidR="008571F1">
        <w:t xml:space="preserve"> the capacity to be </w:t>
      </w:r>
      <w:r>
        <w:t>among</w:t>
      </w:r>
      <w:r w:rsidR="008571F1">
        <w:t xml:space="preserve"> the most attractive </w:t>
      </w:r>
      <w:proofErr w:type="spellStart"/>
      <w:r w:rsidR="008571F1">
        <w:t>programmes</w:t>
      </w:r>
      <w:proofErr w:type="spellEnd"/>
      <w:r>
        <w:t xml:space="preserve"> too</w:t>
      </w:r>
      <w:r w:rsidR="005C25B7">
        <w:t>. P</w:t>
      </w:r>
      <w:r w:rsidR="008571F1">
        <w:t xml:space="preserve">erhaps, </w:t>
      </w:r>
      <w:r w:rsidR="005C25B7">
        <w:t>biodiversity conservation</w:t>
      </w:r>
      <w:r w:rsidR="008571F1">
        <w:t xml:space="preserve"> is not common because it requires specific technical knowhow on the one hand, and approval from authorities on the other hand. In implementing the proposal, the public sector is expected to play a vital role in these areas in facilitating the re-alignment of CSR allocation on biodiversity conservation.</w:t>
      </w:r>
    </w:p>
    <w:p w14:paraId="4CD3C0A8" w14:textId="22FDA914" w:rsidR="008571F1" w:rsidRDefault="008571F1" w:rsidP="008571F1">
      <w:pPr>
        <w:jc w:val="both"/>
      </w:pPr>
      <w:r>
        <w:t>Some of the large firms</w:t>
      </w:r>
      <w:r w:rsidR="009177AB">
        <w:t xml:space="preserve"> have</w:t>
      </w:r>
      <w:r>
        <w:t xml:space="preserve"> increasingly engaged in biodiversity-related activities, while their associations specifically focus on projects and </w:t>
      </w:r>
      <w:proofErr w:type="spellStart"/>
      <w:r>
        <w:t>programmes</w:t>
      </w:r>
      <w:proofErr w:type="spellEnd"/>
      <w:r>
        <w:t xml:space="preserve"> on environment protection and biodiversity conservation</w:t>
      </w:r>
      <w:r w:rsidR="009177AB">
        <w:t xml:space="preserve">. </w:t>
      </w:r>
      <w:r w:rsidR="00B4589D">
        <w:t xml:space="preserve">Evidence suggests that most of the corporates are interested in replanting forests and mangroves, cleaning up environment, other similar activities </w:t>
      </w:r>
      <w:r w:rsidR="005139F3">
        <w:t>However, in these cases too it is important to promote making use of ecological approaches</w:t>
      </w:r>
      <w:r w:rsidR="00A67C80">
        <w:t xml:space="preserve"> that are biodiversity friendly</w:t>
      </w:r>
      <w:r w:rsidR="000F7D14">
        <w:t xml:space="preserve"> (ex: </w:t>
      </w:r>
      <w:r w:rsidR="00A67C80">
        <w:t>support eradicating invasive alien species</w:t>
      </w:r>
      <w:r w:rsidR="000F7D14">
        <w:t xml:space="preserve">, promotion of indigenous varieties, </w:t>
      </w:r>
      <w:proofErr w:type="spellStart"/>
      <w:r w:rsidR="000F7D14">
        <w:t>etc</w:t>
      </w:r>
      <w:proofErr w:type="spellEnd"/>
      <w:r w:rsidR="000F7D14">
        <w:t>)</w:t>
      </w:r>
      <w:r w:rsidR="00A67C80">
        <w:t xml:space="preserve">. </w:t>
      </w:r>
      <w:r w:rsidR="005139F3">
        <w:t xml:space="preserve"> </w:t>
      </w:r>
      <w:r w:rsidR="009177AB">
        <w:t xml:space="preserve">Therefore, the corporate enthusiasm and experience is important for the successful implementation of the proposal. </w:t>
      </w:r>
      <w:r>
        <w:t xml:space="preserve">There are different associations of the corporate </w:t>
      </w:r>
      <w:r w:rsidR="009177AB">
        <w:t xml:space="preserve">sector </w:t>
      </w:r>
      <w:r>
        <w:t>as national chambers, regional or district chambers and, trade chambers. Some of them are involved in activities of environment protection and biodiversity conservation, without much acknowledgement from or collaboration with the public sector.</w:t>
      </w:r>
    </w:p>
    <w:p w14:paraId="7292BCD4" w14:textId="264CBF41" w:rsidR="00AD0F77" w:rsidRDefault="00AD0F77" w:rsidP="00AD0F77">
      <w:pPr>
        <w:jc w:val="both"/>
      </w:pPr>
      <w:r>
        <w:t xml:space="preserve">As the Biodiversity Expenditure Review (BER) reported, however, there is a gap </w:t>
      </w:r>
      <w:r w:rsidR="00827076">
        <w:t xml:space="preserve">in </w:t>
      </w:r>
      <w:r>
        <w:t>the availability of information and data on biodiversity spending by the corporate sector. The proposal may have a secondary impact on reporting the biodiversity expenditure by the corporate sector either as individual corporates or their associations.</w:t>
      </w:r>
      <w:r w:rsidR="00827076">
        <w:t xml:space="preserve"> In this respect, it is also necessary to collaborate with the corporate sector and their associations to generate baseline information as well as to establish mechanisms to gather information.</w:t>
      </w:r>
    </w:p>
    <w:p w14:paraId="2A6AE79E" w14:textId="69773211" w:rsidR="00635535" w:rsidRDefault="00AD0F77" w:rsidP="00AD0F77">
      <w:pPr>
        <w:jc w:val="both"/>
      </w:pPr>
      <w:r w:rsidRPr="00C65B70">
        <w:t xml:space="preserve">The proposed finance solution </w:t>
      </w:r>
      <w:r w:rsidR="002F1720" w:rsidRPr="00C65B70">
        <w:t>requires multiple partnerships at different levels in order not only to raise and divert a proportion of CRS funds to biodiversity conservation, but also to make such funds utilized effectively for the purpose. The corporate sector consists of large, medium and, small scale units operating at national and sub-national levels. The government agencies and NGOs related to biodiversity conservation and environment protection possess technical knowledge. The partnerships can be established at both national and sub-national level</w:t>
      </w:r>
      <w:r w:rsidR="00C65B70" w:rsidRPr="00C65B70">
        <w:t xml:space="preserve"> which might be important as far as the regional-specific biodiversity needs are concerned. Mechanisms as such can pool the diverse resources from different sources coupled to CSR funds of the private sector for investing in biodiversity. </w:t>
      </w:r>
      <w:r w:rsidRPr="00C65B70">
        <w:t xml:space="preserve">Further, the regional chambers can also partner with local and provincial governments to execute biodiversity conservation projects. Moreover, CSR allocations on biodiversity can be </w:t>
      </w:r>
      <w:r>
        <w:t>granted incentives and rewards by the government, which would also encourage their reporting.</w:t>
      </w:r>
    </w:p>
    <w:p w14:paraId="1CC8982F" w14:textId="5BE32121" w:rsidR="00C65B70" w:rsidRDefault="00C65B70" w:rsidP="00AD0F77">
      <w:pPr>
        <w:jc w:val="both"/>
      </w:pPr>
      <w:r>
        <w:t>The effective implementation of the finance solution requires</w:t>
      </w:r>
      <w:r w:rsidR="005470BE">
        <w:t xml:space="preserve"> a</w:t>
      </w:r>
      <w:r>
        <w:t xml:space="preserve"> </w:t>
      </w:r>
      <w:r w:rsidR="005470BE">
        <w:t>perception survey targeting mainly the private sector, framework for building partnerships to divert CSR funds to recommended projects, and a mechanism for effective implementation of the finance solution.</w:t>
      </w:r>
      <w:r w:rsidR="000962F8">
        <w:t xml:space="preserve"> The private sector associations that are already functioning can play a major role in undertaking the responsibility of CSR fund mobilization without restricting such activities initiated individually. It is necessary for the public sector and the NGOs to assist the private sector for undertaking recommended biodiversity projects.</w:t>
      </w:r>
    </w:p>
    <w:p w14:paraId="337AE095" w14:textId="24C1C4A5" w:rsidR="00B63271" w:rsidRDefault="00B63271" w:rsidP="00AD0F77">
      <w:pPr>
        <w:jc w:val="both"/>
      </w:pPr>
      <w:r>
        <w:t xml:space="preserve">Further in all Corporate Social Responsibility related </w:t>
      </w:r>
      <w:r w:rsidR="006C5728">
        <w:t xml:space="preserve">initiatives – irrespective of whether they are people </w:t>
      </w:r>
      <w:proofErr w:type="spellStart"/>
      <w:r w:rsidR="006C5728">
        <w:t>centred</w:t>
      </w:r>
      <w:proofErr w:type="spellEnd"/>
      <w:r w:rsidR="006C5728">
        <w:t xml:space="preserve"> or environment </w:t>
      </w:r>
      <w:proofErr w:type="spellStart"/>
      <w:r w:rsidR="006C5728">
        <w:t>centred</w:t>
      </w:r>
      <w:proofErr w:type="spellEnd"/>
      <w:r w:rsidR="006C5728">
        <w:t xml:space="preserve">- certain minimum biodiversity friendly environmental standards could be promoted. As an example, even within a livelihood support initiative, there may be opportunities to avoid land use changes in ecologically sensitive area, sustainable management of indigenous species, management of alien invasive species etc. Therefore, a special attention will be paid to promote ‘biodiversity additionality’ in otherwise human development targeted initiatives. </w:t>
      </w:r>
    </w:p>
    <w:p w14:paraId="62445AC9" w14:textId="77777777" w:rsidR="003D5715" w:rsidRDefault="003D5715" w:rsidP="00BB5D98">
      <w:pPr>
        <w:jc w:val="both"/>
      </w:pPr>
      <w:r>
        <w:t>Business case</w:t>
      </w:r>
    </w:p>
    <w:p w14:paraId="735BBF50" w14:textId="4D7899C3" w:rsidR="009177AB" w:rsidRDefault="009177AB" w:rsidP="00BB5D98">
      <w:pPr>
        <w:jc w:val="both"/>
      </w:pPr>
      <w:r>
        <w:t>The proposed finance solution meets the prevailing biodiversity finance gaps through CSR allocation</w:t>
      </w:r>
      <w:r w:rsidR="008902E7">
        <w:t xml:space="preserve"> and, in flexible partnership among the private sector, public sector and the related non-governmental organizations.</w:t>
      </w:r>
      <w:r w:rsidR="00827076">
        <w:t xml:space="preserve"> The</w:t>
      </w:r>
      <w:r>
        <w:t xml:space="preserve"> public sector can </w:t>
      </w:r>
      <w:r w:rsidR="00827076">
        <w:t xml:space="preserve">also </w:t>
      </w:r>
      <w:r>
        <w:t>play a vital facilitating role</w:t>
      </w:r>
      <w:r w:rsidR="00315AFA">
        <w:t xml:space="preserve"> in addressing the issues that hinder the corporate sector involvement in investing in biodiversity and providing information and guidelines</w:t>
      </w:r>
      <w:r w:rsidR="00EE1AF6">
        <w:t xml:space="preserve">. The proposal is expected to be attractive to the public sector, including those which are operating at local levels and are concerned with environmental issues. </w:t>
      </w:r>
      <w:r w:rsidR="00315AFA">
        <w:t>Given the facilitating role played by the public sector, t</w:t>
      </w:r>
      <w:r w:rsidR="00EE1AF6">
        <w:t>he proposal is expected to result in a greater involvement of the corporate sector in biodiversity conservation</w:t>
      </w:r>
      <w:r w:rsidR="00315AFA">
        <w:t xml:space="preserve"> using the allocations from the CSR. It will enhance the social recognition and market competitiveness of the corporate sector as well.</w:t>
      </w:r>
    </w:p>
    <w:p w14:paraId="5C2BD91F" w14:textId="77777777" w:rsidR="003D5715" w:rsidRDefault="00EE1AF6" w:rsidP="00BB5D98">
      <w:pPr>
        <w:jc w:val="both"/>
      </w:pPr>
      <w:r>
        <w:t>Responsibility</w:t>
      </w:r>
    </w:p>
    <w:p w14:paraId="19356616" w14:textId="27483745" w:rsidR="008D0DB9" w:rsidRDefault="008D0DB9" w:rsidP="008D0DB9">
      <w:pPr>
        <w:jc w:val="both"/>
      </w:pPr>
      <w:r>
        <w:t xml:space="preserve">The Ministry of Mahaweli Development (MMDE) and the Ministry of Local Governments and Provincial Councils (MLGPC) can play the major role of the public sector. The corporate sector can be represented by the chambers of commerce at both national and regional levels as well as </w:t>
      </w:r>
      <w:r w:rsidR="00315AFA">
        <w:t xml:space="preserve">other </w:t>
      </w:r>
      <w:r>
        <w:t xml:space="preserve">trade associations. At sub-national levels, local governments and regional chambers can be the major partners of the </w:t>
      </w:r>
      <w:proofErr w:type="spellStart"/>
      <w:r>
        <w:t>programme</w:t>
      </w:r>
      <w:proofErr w:type="spellEnd"/>
      <w:r>
        <w:t>.</w:t>
      </w:r>
    </w:p>
    <w:p w14:paraId="25658C73" w14:textId="30C93FCD" w:rsidR="00686C57" w:rsidRDefault="00686C57" w:rsidP="008D0DB9">
      <w:pPr>
        <w:jc w:val="both"/>
      </w:pPr>
      <w:r>
        <w:t>Financial result</w:t>
      </w:r>
    </w:p>
    <w:p w14:paraId="478FB177" w14:textId="150105AF" w:rsidR="008A5D50" w:rsidRDefault="00686C57" w:rsidP="008D0DB9">
      <w:pPr>
        <w:jc w:val="both"/>
      </w:pPr>
      <w:r>
        <w:t>Given the lack of baseline information on the CSR funds and the corporate sector spending on biodiversity conservation, it is not possible to provide</w:t>
      </w:r>
      <w:r w:rsidR="00A05B61">
        <w:t xml:space="preserve"> accurate</w:t>
      </w:r>
      <w:r>
        <w:t xml:space="preserve"> estimates of the financial result. </w:t>
      </w:r>
      <w:r w:rsidR="008A5D50" w:rsidRPr="008A5D50">
        <w:t>As per anecdotal evidence from individual companies, the annual CSR fund allocation by private companies varies significantly between near zero to 10 percent of profits. The higher share of CSR funds towards biodiversity can be seen mostly among large companies. In addition, private companies tend to allocate higher share of CSR fund on biodiversity when such activities become an integral part of the core business activities of the company because it would enhance their business performance as well.</w:t>
      </w:r>
    </w:p>
    <w:p w14:paraId="43C9D3A5" w14:textId="63FC355C" w:rsidR="00686C57" w:rsidRDefault="00342F4B" w:rsidP="008D0DB9">
      <w:pPr>
        <w:jc w:val="both"/>
      </w:pPr>
      <w:r>
        <w:t xml:space="preserve">According to the Survey of Industries (2016), there are 20571 units producing LKR 4306 billion annual output. According to Economic Census (2013/2014), there are 18678 units in the service sector, producing LKR 2162 billion annual output. </w:t>
      </w:r>
      <w:r w:rsidR="00686C57">
        <w:t xml:space="preserve">Given the size of the </w:t>
      </w:r>
      <w:r w:rsidR="00425BC6">
        <w:t>corporate sector</w:t>
      </w:r>
      <w:r>
        <w:t xml:space="preserve">, it can be reasonably </w:t>
      </w:r>
      <w:proofErr w:type="gramStart"/>
      <w:r>
        <w:t>assume</w:t>
      </w:r>
      <w:proofErr w:type="gramEnd"/>
      <w:r>
        <w:t xml:space="preserve"> an average contribution of LKR 1 billion</w:t>
      </w:r>
      <w:r w:rsidR="001E5F09">
        <w:t xml:space="preserve"> a year</w:t>
      </w:r>
      <w:r w:rsidR="000A3176">
        <w:t xml:space="preserve"> (0.05 percent of output)</w:t>
      </w:r>
      <w:r w:rsidR="001E5F09">
        <w:t>, which is equivalent to US$ 6 million,</w:t>
      </w:r>
      <w:r>
        <w:t xml:space="preserve"> for conservation of biodiversity through the CSR allocations of the corporate sector.</w:t>
      </w:r>
    </w:p>
    <w:p w14:paraId="309A1C15" w14:textId="77777777" w:rsidR="00EE1AF6" w:rsidRDefault="008D0DB9" w:rsidP="00BB5D98">
      <w:pPr>
        <w:jc w:val="both"/>
      </w:pPr>
      <w:r>
        <w:t>Action plan</w:t>
      </w:r>
    </w:p>
    <w:tbl>
      <w:tblPr>
        <w:tblStyle w:val="TableGrid"/>
        <w:tblW w:w="0" w:type="auto"/>
        <w:tblLook w:val="04A0" w:firstRow="1" w:lastRow="0" w:firstColumn="1" w:lastColumn="0" w:noHBand="0" w:noVBand="1"/>
      </w:tblPr>
      <w:tblGrid>
        <w:gridCol w:w="2040"/>
        <w:gridCol w:w="2024"/>
        <w:gridCol w:w="1495"/>
        <w:gridCol w:w="494"/>
        <w:gridCol w:w="494"/>
        <w:gridCol w:w="494"/>
        <w:gridCol w:w="494"/>
        <w:gridCol w:w="494"/>
        <w:gridCol w:w="494"/>
        <w:gridCol w:w="494"/>
      </w:tblGrid>
      <w:tr w:rsidR="00CD5D5C" w14:paraId="435383DB" w14:textId="77777777" w:rsidTr="006257E1">
        <w:tc>
          <w:tcPr>
            <w:tcW w:w="2040" w:type="dxa"/>
            <w:vMerge w:val="restart"/>
            <w:vAlign w:val="center"/>
          </w:tcPr>
          <w:p w14:paraId="23340D0D" w14:textId="77777777" w:rsidR="00CD5D5C" w:rsidRPr="00C27851" w:rsidRDefault="00CD5D5C" w:rsidP="006257E1">
            <w:pPr>
              <w:jc w:val="center"/>
            </w:pPr>
            <w:r w:rsidRPr="00C27851">
              <w:t>Output</w:t>
            </w:r>
          </w:p>
        </w:tc>
        <w:tc>
          <w:tcPr>
            <w:tcW w:w="2024" w:type="dxa"/>
            <w:vMerge w:val="restart"/>
            <w:vAlign w:val="center"/>
          </w:tcPr>
          <w:p w14:paraId="1EE560C6" w14:textId="77777777" w:rsidR="00CD5D5C" w:rsidRPr="00C27851" w:rsidRDefault="00CD5D5C" w:rsidP="006257E1">
            <w:pPr>
              <w:jc w:val="center"/>
            </w:pPr>
            <w:r w:rsidRPr="00C27851">
              <w:t>Main activities</w:t>
            </w:r>
          </w:p>
        </w:tc>
        <w:tc>
          <w:tcPr>
            <w:tcW w:w="1495" w:type="dxa"/>
            <w:vMerge w:val="restart"/>
            <w:vAlign w:val="center"/>
          </w:tcPr>
          <w:p w14:paraId="60BE567B" w14:textId="77777777" w:rsidR="00CD5D5C" w:rsidRPr="00C27851" w:rsidRDefault="00CD5D5C" w:rsidP="006257E1">
            <w:pPr>
              <w:jc w:val="center"/>
            </w:pPr>
            <w:r w:rsidRPr="00C27851">
              <w:t>Responsibility</w:t>
            </w:r>
          </w:p>
        </w:tc>
        <w:tc>
          <w:tcPr>
            <w:tcW w:w="3458" w:type="dxa"/>
            <w:gridSpan w:val="7"/>
            <w:vAlign w:val="center"/>
          </w:tcPr>
          <w:p w14:paraId="0108A2A0" w14:textId="77777777" w:rsidR="00CD5D5C" w:rsidRPr="00C27851" w:rsidRDefault="00CD5D5C" w:rsidP="006257E1">
            <w:pPr>
              <w:jc w:val="center"/>
            </w:pPr>
            <w:r w:rsidRPr="00C27851">
              <w:t>Year</w:t>
            </w:r>
          </w:p>
        </w:tc>
      </w:tr>
      <w:tr w:rsidR="00CD5D5C" w14:paraId="7112B2AF" w14:textId="77777777" w:rsidTr="006257E1">
        <w:tc>
          <w:tcPr>
            <w:tcW w:w="2040" w:type="dxa"/>
            <w:vMerge/>
            <w:vAlign w:val="center"/>
          </w:tcPr>
          <w:p w14:paraId="75F63715" w14:textId="77777777" w:rsidR="00CD5D5C" w:rsidRDefault="00CD5D5C" w:rsidP="006257E1">
            <w:pPr>
              <w:jc w:val="center"/>
            </w:pPr>
          </w:p>
        </w:tc>
        <w:tc>
          <w:tcPr>
            <w:tcW w:w="2024" w:type="dxa"/>
            <w:vMerge/>
            <w:vAlign w:val="center"/>
          </w:tcPr>
          <w:p w14:paraId="01AC13B9" w14:textId="77777777" w:rsidR="00CD5D5C" w:rsidRDefault="00CD5D5C" w:rsidP="006257E1">
            <w:pPr>
              <w:jc w:val="center"/>
            </w:pPr>
          </w:p>
        </w:tc>
        <w:tc>
          <w:tcPr>
            <w:tcW w:w="1495" w:type="dxa"/>
            <w:vMerge/>
            <w:vAlign w:val="center"/>
          </w:tcPr>
          <w:p w14:paraId="417D53AF" w14:textId="77777777" w:rsidR="00CD5D5C" w:rsidRDefault="00CD5D5C" w:rsidP="006257E1">
            <w:pPr>
              <w:jc w:val="center"/>
            </w:pPr>
          </w:p>
        </w:tc>
        <w:tc>
          <w:tcPr>
            <w:tcW w:w="494" w:type="dxa"/>
            <w:vAlign w:val="center"/>
          </w:tcPr>
          <w:p w14:paraId="00003241" w14:textId="77777777" w:rsidR="00CD5D5C" w:rsidRDefault="00CD5D5C" w:rsidP="006257E1">
            <w:pPr>
              <w:jc w:val="center"/>
            </w:pPr>
            <w:r w:rsidRPr="00C27851">
              <w:t>‘18</w:t>
            </w:r>
          </w:p>
        </w:tc>
        <w:tc>
          <w:tcPr>
            <w:tcW w:w="494" w:type="dxa"/>
            <w:vAlign w:val="center"/>
          </w:tcPr>
          <w:p w14:paraId="22948B48" w14:textId="77777777" w:rsidR="00CD5D5C" w:rsidRDefault="00CD5D5C" w:rsidP="006257E1">
            <w:pPr>
              <w:jc w:val="center"/>
            </w:pPr>
            <w:r w:rsidRPr="00C27851">
              <w:t>‘19</w:t>
            </w:r>
          </w:p>
        </w:tc>
        <w:tc>
          <w:tcPr>
            <w:tcW w:w="494" w:type="dxa"/>
            <w:vAlign w:val="center"/>
          </w:tcPr>
          <w:p w14:paraId="37B00E51" w14:textId="77777777" w:rsidR="00CD5D5C" w:rsidRDefault="00CD5D5C" w:rsidP="006257E1">
            <w:pPr>
              <w:jc w:val="center"/>
            </w:pPr>
            <w:r w:rsidRPr="00C27851">
              <w:t>‘20</w:t>
            </w:r>
          </w:p>
        </w:tc>
        <w:tc>
          <w:tcPr>
            <w:tcW w:w="494" w:type="dxa"/>
            <w:vAlign w:val="center"/>
          </w:tcPr>
          <w:p w14:paraId="782213C9" w14:textId="77777777" w:rsidR="00CD5D5C" w:rsidRDefault="00CD5D5C" w:rsidP="006257E1">
            <w:pPr>
              <w:jc w:val="center"/>
            </w:pPr>
            <w:r w:rsidRPr="00C27851">
              <w:t>‘21</w:t>
            </w:r>
          </w:p>
        </w:tc>
        <w:tc>
          <w:tcPr>
            <w:tcW w:w="494" w:type="dxa"/>
            <w:vAlign w:val="center"/>
          </w:tcPr>
          <w:p w14:paraId="4E5E0878" w14:textId="77777777" w:rsidR="00CD5D5C" w:rsidRDefault="00CD5D5C" w:rsidP="006257E1">
            <w:pPr>
              <w:jc w:val="center"/>
            </w:pPr>
            <w:r w:rsidRPr="00C27851">
              <w:t>‘22</w:t>
            </w:r>
          </w:p>
        </w:tc>
        <w:tc>
          <w:tcPr>
            <w:tcW w:w="494" w:type="dxa"/>
            <w:vAlign w:val="center"/>
          </w:tcPr>
          <w:p w14:paraId="0877C694" w14:textId="77777777" w:rsidR="00CD5D5C" w:rsidRDefault="00CD5D5C" w:rsidP="006257E1">
            <w:pPr>
              <w:jc w:val="center"/>
            </w:pPr>
            <w:r w:rsidRPr="00C27851">
              <w:t>‘23</w:t>
            </w:r>
          </w:p>
        </w:tc>
        <w:tc>
          <w:tcPr>
            <w:tcW w:w="494" w:type="dxa"/>
            <w:vAlign w:val="center"/>
          </w:tcPr>
          <w:p w14:paraId="7609CD37" w14:textId="77777777" w:rsidR="00CD5D5C" w:rsidRDefault="00CD5D5C" w:rsidP="006257E1">
            <w:pPr>
              <w:jc w:val="center"/>
            </w:pPr>
            <w:r w:rsidRPr="00C27851">
              <w:t>‘24</w:t>
            </w:r>
          </w:p>
        </w:tc>
      </w:tr>
      <w:tr w:rsidR="00B73C70" w14:paraId="1A2312AB" w14:textId="0454F2FC" w:rsidTr="00902062">
        <w:tc>
          <w:tcPr>
            <w:tcW w:w="2040" w:type="dxa"/>
            <w:vMerge w:val="restart"/>
            <w:vAlign w:val="center"/>
          </w:tcPr>
          <w:p w14:paraId="755DDF94" w14:textId="7E5D28E7" w:rsidR="00B73C70" w:rsidRPr="001C1E11" w:rsidRDefault="006529A6" w:rsidP="00902062">
            <w:r w:rsidRPr="001C1E11">
              <w:t>Mechanism for CSR fund raising for biodiversity</w:t>
            </w:r>
          </w:p>
        </w:tc>
        <w:tc>
          <w:tcPr>
            <w:tcW w:w="2024" w:type="dxa"/>
            <w:vAlign w:val="center"/>
          </w:tcPr>
          <w:p w14:paraId="2D572249" w14:textId="5BBEC3D2" w:rsidR="00B73C70" w:rsidRDefault="00B73C70" w:rsidP="00902062">
            <w:r>
              <w:t>Consultation process with the corporate sector</w:t>
            </w:r>
          </w:p>
        </w:tc>
        <w:tc>
          <w:tcPr>
            <w:tcW w:w="1495" w:type="dxa"/>
            <w:vAlign w:val="center"/>
          </w:tcPr>
          <w:p w14:paraId="3433E58E" w14:textId="2022AB4E" w:rsidR="00B73C70" w:rsidRDefault="00B73C70" w:rsidP="00902062">
            <w:r>
              <w:t>MMDE,</w:t>
            </w:r>
          </w:p>
          <w:p w14:paraId="02CB0531" w14:textId="00DF5295" w:rsidR="00B73C70" w:rsidRDefault="00B73C70" w:rsidP="00902062">
            <w:r>
              <w:t>MLGPC</w:t>
            </w:r>
          </w:p>
        </w:tc>
        <w:tc>
          <w:tcPr>
            <w:tcW w:w="494" w:type="dxa"/>
            <w:shd w:val="clear" w:color="auto" w:fill="auto"/>
            <w:vAlign w:val="center"/>
          </w:tcPr>
          <w:p w14:paraId="4192E4E5" w14:textId="6E16829E" w:rsidR="00B73C70" w:rsidRDefault="00B73C70" w:rsidP="00902062"/>
        </w:tc>
        <w:tc>
          <w:tcPr>
            <w:tcW w:w="494" w:type="dxa"/>
            <w:shd w:val="clear" w:color="auto" w:fill="BFBFBF" w:themeFill="background1" w:themeFillShade="BF"/>
            <w:vAlign w:val="center"/>
          </w:tcPr>
          <w:p w14:paraId="3B63F298" w14:textId="709DC9A0" w:rsidR="00B73C70" w:rsidRDefault="00B73C70" w:rsidP="00902062"/>
        </w:tc>
        <w:tc>
          <w:tcPr>
            <w:tcW w:w="494" w:type="dxa"/>
            <w:shd w:val="clear" w:color="auto" w:fill="auto"/>
            <w:vAlign w:val="center"/>
          </w:tcPr>
          <w:p w14:paraId="045E940E" w14:textId="704D046B" w:rsidR="00B73C70" w:rsidRDefault="00B73C70" w:rsidP="00902062"/>
        </w:tc>
        <w:tc>
          <w:tcPr>
            <w:tcW w:w="494" w:type="dxa"/>
            <w:shd w:val="clear" w:color="auto" w:fill="auto"/>
            <w:vAlign w:val="center"/>
          </w:tcPr>
          <w:p w14:paraId="3B62809A" w14:textId="55AF8278" w:rsidR="00B73C70" w:rsidRDefault="00B73C70" w:rsidP="00902062"/>
        </w:tc>
        <w:tc>
          <w:tcPr>
            <w:tcW w:w="494" w:type="dxa"/>
            <w:shd w:val="clear" w:color="auto" w:fill="auto"/>
            <w:vAlign w:val="center"/>
          </w:tcPr>
          <w:p w14:paraId="4CEC7188" w14:textId="492D0A56" w:rsidR="00B73C70" w:rsidRDefault="00B73C70" w:rsidP="00902062"/>
        </w:tc>
        <w:tc>
          <w:tcPr>
            <w:tcW w:w="494" w:type="dxa"/>
            <w:shd w:val="clear" w:color="auto" w:fill="auto"/>
            <w:vAlign w:val="center"/>
          </w:tcPr>
          <w:p w14:paraId="25CC433A" w14:textId="5FF26FCA" w:rsidR="00B73C70" w:rsidRDefault="00B73C70" w:rsidP="00902062"/>
        </w:tc>
        <w:tc>
          <w:tcPr>
            <w:tcW w:w="494" w:type="dxa"/>
            <w:shd w:val="clear" w:color="auto" w:fill="auto"/>
            <w:vAlign w:val="center"/>
          </w:tcPr>
          <w:p w14:paraId="283BD33A" w14:textId="72B77D75" w:rsidR="00B73C70" w:rsidRDefault="00B73C70" w:rsidP="00902062"/>
        </w:tc>
      </w:tr>
      <w:tr w:rsidR="008A3E32" w14:paraId="38FB8690" w14:textId="77777777" w:rsidTr="00BD5E5F">
        <w:tc>
          <w:tcPr>
            <w:tcW w:w="2040" w:type="dxa"/>
            <w:vMerge/>
            <w:vAlign w:val="center"/>
          </w:tcPr>
          <w:p w14:paraId="345364F6" w14:textId="77777777" w:rsidR="008A3E32" w:rsidRDefault="008A3E32" w:rsidP="006257E1"/>
        </w:tc>
        <w:tc>
          <w:tcPr>
            <w:tcW w:w="2024" w:type="dxa"/>
            <w:vAlign w:val="center"/>
          </w:tcPr>
          <w:p w14:paraId="7E550C7A" w14:textId="6046BF7D" w:rsidR="008A3E32" w:rsidRDefault="00A30254" w:rsidP="00A30254">
            <w:r>
              <w:t xml:space="preserve">CSR and </w:t>
            </w:r>
            <w:r w:rsidR="008A3E32">
              <w:t>perception survey</w:t>
            </w:r>
            <w:r>
              <w:t xml:space="preserve"> of the corporate sector</w:t>
            </w:r>
          </w:p>
        </w:tc>
        <w:tc>
          <w:tcPr>
            <w:tcW w:w="1495" w:type="dxa"/>
            <w:vAlign w:val="center"/>
          </w:tcPr>
          <w:p w14:paraId="7647F3A1" w14:textId="77777777" w:rsidR="008A3E32" w:rsidRDefault="008A3E32" w:rsidP="006257E1">
            <w:r>
              <w:t>MMDE,</w:t>
            </w:r>
          </w:p>
          <w:p w14:paraId="1FCC9FBB" w14:textId="415A5B7A" w:rsidR="008A3E32" w:rsidRDefault="008A3E32" w:rsidP="006257E1">
            <w:r>
              <w:t>MLGPC</w:t>
            </w:r>
          </w:p>
        </w:tc>
        <w:tc>
          <w:tcPr>
            <w:tcW w:w="494" w:type="dxa"/>
            <w:shd w:val="clear" w:color="auto" w:fill="auto"/>
            <w:vAlign w:val="center"/>
          </w:tcPr>
          <w:p w14:paraId="081882B5" w14:textId="77777777" w:rsidR="008A3E32" w:rsidRDefault="008A3E32" w:rsidP="006257E1">
            <w:pPr>
              <w:jc w:val="center"/>
            </w:pPr>
          </w:p>
        </w:tc>
        <w:tc>
          <w:tcPr>
            <w:tcW w:w="494" w:type="dxa"/>
            <w:shd w:val="clear" w:color="auto" w:fill="BFBFBF" w:themeFill="background1" w:themeFillShade="BF"/>
            <w:vAlign w:val="center"/>
          </w:tcPr>
          <w:p w14:paraId="2F5B0EF4" w14:textId="77777777" w:rsidR="008A3E32" w:rsidRDefault="008A3E32" w:rsidP="006257E1">
            <w:pPr>
              <w:jc w:val="center"/>
            </w:pPr>
          </w:p>
        </w:tc>
        <w:tc>
          <w:tcPr>
            <w:tcW w:w="494" w:type="dxa"/>
            <w:shd w:val="clear" w:color="auto" w:fill="auto"/>
            <w:vAlign w:val="center"/>
          </w:tcPr>
          <w:p w14:paraId="53597F21" w14:textId="77777777" w:rsidR="008A3E32" w:rsidRDefault="008A3E32" w:rsidP="006257E1">
            <w:pPr>
              <w:jc w:val="center"/>
            </w:pPr>
          </w:p>
        </w:tc>
        <w:tc>
          <w:tcPr>
            <w:tcW w:w="494" w:type="dxa"/>
            <w:shd w:val="clear" w:color="auto" w:fill="auto"/>
            <w:vAlign w:val="center"/>
          </w:tcPr>
          <w:p w14:paraId="2B6F02AF" w14:textId="77777777" w:rsidR="008A3E32" w:rsidRDefault="008A3E32" w:rsidP="006257E1">
            <w:pPr>
              <w:jc w:val="center"/>
            </w:pPr>
          </w:p>
        </w:tc>
        <w:tc>
          <w:tcPr>
            <w:tcW w:w="494" w:type="dxa"/>
            <w:shd w:val="clear" w:color="auto" w:fill="auto"/>
            <w:vAlign w:val="center"/>
          </w:tcPr>
          <w:p w14:paraId="5CC6CA6A" w14:textId="77777777" w:rsidR="008A3E32" w:rsidRDefault="008A3E32" w:rsidP="006257E1">
            <w:pPr>
              <w:jc w:val="center"/>
            </w:pPr>
          </w:p>
        </w:tc>
        <w:tc>
          <w:tcPr>
            <w:tcW w:w="494" w:type="dxa"/>
            <w:shd w:val="clear" w:color="auto" w:fill="auto"/>
            <w:vAlign w:val="center"/>
          </w:tcPr>
          <w:p w14:paraId="5150325A" w14:textId="77777777" w:rsidR="008A3E32" w:rsidRDefault="008A3E32" w:rsidP="006257E1">
            <w:pPr>
              <w:jc w:val="center"/>
            </w:pPr>
          </w:p>
        </w:tc>
        <w:tc>
          <w:tcPr>
            <w:tcW w:w="494" w:type="dxa"/>
            <w:shd w:val="clear" w:color="auto" w:fill="auto"/>
            <w:vAlign w:val="center"/>
          </w:tcPr>
          <w:p w14:paraId="0CA88B7A" w14:textId="77777777" w:rsidR="008A3E32" w:rsidRDefault="008A3E32" w:rsidP="006257E1">
            <w:pPr>
              <w:jc w:val="center"/>
            </w:pPr>
          </w:p>
        </w:tc>
      </w:tr>
      <w:tr w:rsidR="008A3E32" w14:paraId="18A8D9CB" w14:textId="77777777" w:rsidTr="00BD5E5F">
        <w:tc>
          <w:tcPr>
            <w:tcW w:w="2040" w:type="dxa"/>
            <w:vMerge/>
            <w:vAlign w:val="center"/>
          </w:tcPr>
          <w:p w14:paraId="4E8FDF3F" w14:textId="31926060" w:rsidR="008A3E32" w:rsidRDefault="008A3E32" w:rsidP="008A3E32"/>
        </w:tc>
        <w:tc>
          <w:tcPr>
            <w:tcW w:w="2024" w:type="dxa"/>
            <w:vAlign w:val="center"/>
          </w:tcPr>
          <w:p w14:paraId="0074456A" w14:textId="696BD9BB" w:rsidR="008A3E32" w:rsidRDefault="008A3E32" w:rsidP="008A3E32">
            <w:r w:rsidRPr="008A3E32">
              <w:t>Establishing a Steering Committee comprising st</w:t>
            </w:r>
            <w:r>
              <w:t>akeholder representation</w:t>
            </w:r>
            <w:r>
              <w:tab/>
            </w:r>
          </w:p>
        </w:tc>
        <w:tc>
          <w:tcPr>
            <w:tcW w:w="1495" w:type="dxa"/>
            <w:vAlign w:val="center"/>
          </w:tcPr>
          <w:p w14:paraId="5DC5FC0D" w14:textId="5CA2B7A3" w:rsidR="008A3E32" w:rsidRDefault="008A3E32" w:rsidP="008A3E32">
            <w:r>
              <w:t>Steering Committee</w:t>
            </w:r>
          </w:p>
        </w:tc>
        <w:tc>
          <w:tcPr>
            <w:tcW w:w="494" w:type="dxa"/>
            <w:shd w:val="clear" w:color="auto" w:fill="auto"/>
            <w:vAlign w:val="center"/>
          </w:tcPr>
          <w:p w14:paraId="0F63553B" w14:textId="77777777" w:rsidR="008A3E32" w:rsidRDefault="008A3E32" w:rsidP="008A3E32">
            <w:pPr>
              <w:jc w:val="center"/>
            </w:pPr>
          </w:p>
        </w:tc>
        <w:tc>
          <w:tcPr>
            <w:tcW w:w="494" w:type="dxa"/>
            <w:shd w:val="clear" w:color="auto" w:fill="BFBFBF" w:themeFill="background1" w:themeFillShade="BF"/>
            <w:vAlign w:val="center"/>
          </w:tcPr>
          <w:p w14:paraId="70C973C6" w14:textId="77777777" w:rsidR="008A3E32" w:rsidRDefault="008A3E32" w:rsidP="008A3E32">
            <w:pPr>
              <w:jc w:val="center"/>
            </w:pPr>
          </w:p>
        </w:tc>
        <w:tc>
          <w:tcPr>
            <w:tcW w:w="494" w:type="dxa"/>
            <w:shd w:val="clear" w:color="auto" w:fill="auto"/>
            <w:vAlign w:val="center"/>
          </w:tcPr>
          <w:p w14:paraId="7B6B6DBC" w14:textId="77777777" w:rsidR="008A3E32" w:rsidRDefault="008A3E32" w:rsidP="008A3E32">
            <w:pPr>
              <w:jc w:val="center"/>
            </w:pPr>
          </w:p>
        </w:tc>
        <w:tc>
          <w:tcPr>
            <w:tcW w:w="494" w:type="dxa"/>
            <w:shd w:val="clear" w:color="auto" w:fill="auto"/>
            <w:vAlign w:val="center"/>
          </w:tcPr>
          <w:p w14:paraId="635DBA68" w14:textId="77777777" w:rsidR="008A3E32" w:rsidRDefault="008A3E32" w:rsidP="008A3E32">
            <w:pPr>
              <w:jc w:val="center"/>
            </w:pPr>
          </w:p>
        </w:tc>
        <w:tc>
          <w:tcPr>
            <w:tcW w:w="494" w:type="dxa"/>
            <w:shd w:val="clear" w:color="auto" w:fill="auto"/>
            <w:vAlign w:val="center"/>
          </w:tcPr>
          <w:p w14:paraId="1DC52464" w14:textId="77777777" w:rsidR="008A3E32" w:rsidRDefault="008A3E32" w:rsidP="008A3E32">
            <w:pPr>
              <w:jc w:val="center"/>
            </w:pPr>
          </w:p>
        </w:tc>
        <w:tc>
          <w:tcPr>
            <w:tcW w:w="494" w:type="dxa"/>
            <w:shd w:val="clear" w:color="auto" w:fill="auto"/>
            <w:vAlign w:val="center"/>
          </w:tcPr>
          <w:p w14:paraId="2F11C66D" w14:textId="77777777" w:rsidR="008A3E32" w:rsidRDefault="008A3E32" w:rsidP="008A3E32">
            <w:pPr>
              <w:jc w:val="center"/>
            </w:pPr>
          </w:p>
        </w:tc>
        <w:tc>
          <w:tcPr>
            <w:tcW w:w="494" w:type="dxa"/>
            <w:shd w:val="clear" w:color="auto" w:fill="auto"/>
            <w:vAlign w:val="center"/>
          </w:tcPr>
          <w:p w14:paraId="57F622FB" w14:textId="77777777" w:rsidR="008A3E32" w:rsidRDefault="008A3E32" w:rsidP="008A3E32">
            <w:pPr>
              <w:jc w:val="center"/>
            </w:pPr>
          </w:p>
        </w:tc>
      </w:tr>
      <w:tr w:rsidR="008B5710" w14:paraId="529941B9" w14:textId="77777777" w:rsidTr="00BD5E5F">
        <w:tc>
          <w:tcPr>
            <w:tcW w:w="2040" w:type="dxa"/>
            <w:vMerge/>
            <w:vAlign w:val="center"/>
          </w:tcPr>
          <w:p w14:paraId="66E17AC5" w14:textId="77777777" w:rsidR="008B5710" w:rsidRDefault="008B5710" w:rsidP="008B5710"/>
        </w:tc>
        <w:tc>
          <w:tcPr>
            <w:tcW w:w="2024" w:type="dxa"/>
            <w:vAlign w:val="center"/>
          </w:tcPr>
          <w:p w14:paraId="732FC9C1" w14:textId="5836144D" w:rsidR="008B5710" w:rsidRDefault="008B5710" w:rsidP="005139F3">
            <w:r>
              <w:t xml:space="preserve">Designing preferred benchmarks, rewards schemes, </w:t>
            </w:r>
            <w:r w:rsidR="00D84FF4">
              <w:t>NGO</w:t>
            </w:r>
            <w:r>
              <w:t xml:space="preserve"> sector assistance</w:t>
            </w:r>
            <w:r w:rsidR="00D84FF4">
              <w:t xml:space="preserve"> for initiatives that benefit both planet (environment including biodiversity) and people</w:t>
            </w:r>
          </w:p>
        </w:tc>
        <w:tc>
          <w:tcPr>
            <w:tcW w:w="1495" w:type="dxa"/>
            <w:vAlign w:val="center"/>
          </w:tcPr>
          <w:p w14:paraId="0B5BEA6D" w14:textId="0B01714C" w:rsidR="008B5710" w:rsidRDefault="008B5710" w:rsidP="008B5710">
            <w:r>
              <w:t>Steering Committee</w:t>
            </w:r>
          </w:p>
        </w:tc>
        <w:tc>
          <w:tcPr>
            <w:tcW w:w="494" w:type="dxa"/>
            <w:shd w:val="clear" w:color="auto" w:fill="auto"/>
            <w:vAlign w:val="center"/>
          </w:tcPr>
          <w:p w14:paraId="603D0E12" w14:textId="77777777" w:rsidR="008B5710" w:rsidRDefault="008B5710" w:rsidP="008B5710">
            <w:pPr>
              <w:jc w:val="center"/>
            </w:pPr>
          </w:p>
        </w:tc>
        <w:tc>
          <w:tcPr>
            <w:tcW w:w="494" w:type="dxa"/>
            <w:shd w:val="clear" w:color="auto" w:fill="BFBFBF" w:themeFill="background1" w:themeFillShade="BF"/>
            <w:vAlign w:val="center"/>
          </w:tcPr>
          <w:p w14:paraId="2151A467" w14:textId="77777777" w:rsidR="008B5710" w:rsidRDefault="008B5710" w:rsidP="008B5710">
            <w:pPr>
              <w:jc w:val="center"/>
            </w:pPr>
          </w:p>
        </w:tc>
        <w:tc>
          <w:tcPr>
            <w:tcW w:w="494" w:type="dxa"/>
            <w:shd w:val="clear" w:color="auto" w:fill="auto"/>
            <w:vAlign w:val="center"/>
          </w:tcPr>
          <w:p w14:paraId="541CD16B" w14:textId="77777777" w:rsidR="008B5710" w:rsidRDefault="008B5710" w:rsidP="008B5710">
            <w:pPr>
              <w:jc w:val="center"/>
            </w:pPr>
          </w:p>
        </w:tc>
        <w:tc>
          <w:tcPr>
            <w:tcW w:w="494" w:type="dxa"/>
            <w:shd w:val="clear" w:color="auto" w:fill="auto"/>
            <w:vAlign w:val="center"/>
          </w:tcPr>
          <w:p w14:paraId="709AD314" w14:textId="77777777" w:rsidR="008B5710" w:rsidRDefault="008B5710" w:rsidP="008B5710">
            <w:pPr>
              <w:jc w:val="center"/>
            </w:pPr>
          </w:p>
        </w:tc>
        <w:tc>
          <w:tcPr>
            <w:tcW w:w="494" w:type="dxa"/>
            <w:shd w:val="clear" w:color="auto" w:fill="auto"/>
            <w:vAlign w:val="center"/>
          </w:tcPr>
          <w:p w14:paraId="7EA0A4F7" w14:textId="77777777" w:rsidR="008B5710" w:rsidRDefault="008B5710" w:rsidP="008B5710">
            <w:pPr>
              <w:jc w:val="center"/>
            </w:pPr>
          </w:p>
        </w:tc>
        <w:tc>
          <w:tcPr>
            <w:tcW w:w="494" w:type="dxa"/>
            <w:shd w:val="clear" w:color="auto" w:fill="auto"/>
            <w:vAlign w:val="center"/>
          </w:tcPr>
          <w:p w14:paraId="73E59DED" w14:textId="77777777" w:rsidR="008B5710" w:rsidRDefault="008B5710" w:rsidP="008B5710">
            <w:pPr>
              <w:jc w:val="center"/>
            </w:pPr>
          </w:p>
        </w:tc>
        <w:tc>
          <w:tcPr>
            <w:tcW w:w="494" w:type="dxa"/>
            <w:shd w:val="clear" w:color="auto" w:fill="auto"/>
            <w:vAlign w:val="center"/>
          </w:tcPr>
          <w:p w14:paraId="4AE87339" w14:textId="77777777" w:rsidR="008B5710" w:rsidRDefault="008B5710" w:rsidP="008B5710">
            <w:pPr>
              <w:jc w:val="center"/>
            </w:pPr>
          </w:p>
        </w:tc>
      </w:tr>
      <w:tr w:rsidR="008B5710" w14:paraId="2887E257" w14:textId="77777777" w:rsidTr="00BD5E5F">
        <w:tc>
          <w:tcPr>
            <w:tcW w:w="2040" w:type="dxa"/>
            <w:vMerge/>
            <w:vAlign w:val="center"/>
          </w:tcPr>
          <w:p w14:paraId="0B381130" w14:textId="77777777" w:rsidR="008B5710" w:rsidRDefault="008B5710" w:rsidP="008B5710"/>
        </w:tc>
        <w:tc>
          <w:tcPr>
            <w:tcW w:w="2024" w:type="dxa"/>
            <w:vAlign w:val="center"/>
          </w:tcPr>
          <w:p w14:paraId="00F8210E" w14:textId="5D354CBB" w:rsidR="008B5710" w:rsidRDefault="005139F3" w:rsidP="008B5710">
            <w:r>
              <w:t xml:space="preserve">Awareness building on appropriate biodiversity approaches such as </w:t>
            </w:r>
            <w:r w:rsidR="00D84FF4">
              <w:t>eco system approach</w:t>
            </w:r>
          </w:p>
        </w:tc>
        <w:tc>
          <w:tcPr>
            <w:tcW w:w="1495" w:type="dxa"/>
            <w:vAlign w:val="center"/>
          </w:tcPr>
          <w:p w14:paraId="4A18B58E" w14:textId="567B06D8" w:rsidR="008B5710" w:rsidRDefault="008B5710" w:rsidP="008B5710">
            <w:r>
              <w:t>Steering Committee</w:t>
            </w:r>
          </w:p>
        </w:tc>
        <w:tc>
          <w:tcPr>
            <w:tcW w:w="494" w:type="dxa"/>
            <w:shd w:val="clear" w:color="auto" w:fill="auto"/>
            <w:vAlign w:val="center"/>
          </w:tcPr>
          <w:p w14:paraId="30F9ED84" w14:textId="77777777" w:rsidR="008B5710" w:rsidRDefault="008B5710" w:rsidP="008B5710">
            <w:pPr>
              <w:jc w:val="center"/>
            </w:pPr>
          </w:p>
        </w:tc>
        <w:tc>
          <w:tcPr>
            <w:tcW w:w="494" w:type="dxa"/>
            <w:shd w:val="clear" w:color="auto" w:fill="BFBFBF" w:themeFill="background1" w:themeFillShade="BF"/>
            <w:vAlign w:val="center"/>
          </w:tcPr>
          <w:p w14:paraId="7F19B997" w14:textId="77777777" w:rsidR="008B5710" w:rsidRDefault="008B5710" w:rsidP="008B5710">
            <w:pPr>
              <w:jc w:val="center"/>
            </w:pPr>
          </w:p>
        </w:tc>
        <w:tc>
          <w:tcPr>
            <w:tcW w:w="494" w:type="dxa"/>
            <w:shd w:val="clear" w:color="auto" w:fill="auto"/>
            <w:vAlign w:val="center"/>
          </w:tcPr>
          <w:p w14:paraId="18F1D17D" w14:textId="77777777" w:rsidR="008B5710" w:rsidRDefault="008B5710" w:rsidP="008B5710">
            <w:pPr>
              <w:jc w:val="center"/>
            </w:pPr>
          </w:p>
        </w:tc>
        <w:tc>
          <w:tcPr>
            <w:tcW w:w="494" w:type="dxa"/>
            <w:shd w:val="clear" w:color="auto" w:fill="auto"/>
            <w:vAlign w:val="center"/>
          </w:tcPr>
          <w:p w14:paraId="0FFE772A" w14:textId="77777777" w:rsidR="008B5710" w:rsidRDefault="008B5710" w:rsidP="008B5710">
            <w:pPr>
              <w:jc w:val="center"/>
            </w:pPr>
          </w:p>
        </w:tc>
        <w:tc>
          <w:tcPr>
            <w:tcW w:w="494" w:type="dxa"/>
            <w:shd w:val="clear" w:color="auto" w:fill="auto"/>
            <w:vAlign w:val="center"/>
          </w:tcPr>
          <w:p w14:paraId="302E3610" w14:textId="77777777" w:rsidR="008B5710" w:rsidRDefault="008B5710" w:rsidP="008B5710">
            <w:pPr>
              <w:jc w:val="center"/>
            </w:pPr>
          </w:p>
        </w:tc>
        <w:tc>
          <w:tcPr>
            <w:tcW w:w="494" w:type="dxa"/>
            <w:shd w:val="clear" w:color="auto" w:fill="auto"/>
            <w:vAlign w:val="center"/>
          </w:tcPr>
          <w:p w14:paraId="77DCD94D" w14:textId="77777777" w:rsidR="008B5710" w:rsidRDefault="008B5710" w:rsidP="008B5710">
            <w:pPr>
              <w:jc w:val="center"/>
            </w:pPr>
          </w:p>
        </w:tc>
        <w:tc>
          <w:tcPr>
            <w:tcW w:w="494" w:type="dxa"/>
            <w:shd w:val="clear" w:color="auto" w:fill="auto"/>
            <w:vAlign w:val="center"/>
          </w:tcPr>
          <w:p w14:paraId="6E8968D7" w14:textId="77777777" w:rsidR="008B5710" w:rsidRDefault="008B5710" w:rsidP="008B5710">
            <w:pPr>
              <w:jc w:val="center"/>
            </w:pPr>
          </w:p>
        </w:tc>
      </w:tr>
      <w:tr w:rsidR="00701B41" w14:paraId="28E4E4AD" w14:textId="77777777" w:rsidTr="00BD5E5F">
        <w:tc>
          <w:tcPr>
            <w:tcW w:w="2040" w:type="dxa"/>
            <w:vMerge w:val="restart"/>
            <w:vAlign w:val="center"/>
          </w:tcPr>
          <w:p w14:paraId="20B7F5B9" w14:textId="1410634A" w:rsidR="00701B41" w:rsidRDefault="00D7421D" w:rsidP="00701B41">
            <w:r>
              <w:t>Establishing the implementation mechanism with the stakeholders</w:t>
            </w:r>
          </w:p>
        </w:tc>
        <w:tc>
          <w:tcPr>
            <w:tcW w:w="2024" w:type="dxa"/>
            <w:vAlign w:val="center"/>
          </w:tcPr>
          <w:p w14:paraId="4C5A7DCB" w14:textId="5164268F" w:rsidR="00701B41" w:rsidRDefault="00701B41" w:rsidP="00701B41">
            <w:r>
              <w:t>Identifying and listing biodiversity conservation areas and projects, nationally and locally</w:t>
            </w:r>
          </w:p>
        </w:tc>
        <w:tc>
          <w:tcPr>
            <w:tcW w:w="1495" w:type="dxa"/>
            <w:vAlign w:val="center"/>
          </w:tcPr>
          <w:p w14:paraId="6982CCC4" w14:textId="6AA15229" w:rsidR="00701B41" w:rsidRDefault="00701B41" w:rsidP="00701B41">
            <w:r>
              <w:t>Steering Committee</w:t>
            </w:r>
          </w:p>
        </w:tc>
        <w:tc>
          <w:tcPr>
            <w:tcW w:w="494" w:type="dxa"/>
            <w:shd w:val="clear" w:color="auto" w:fill="auto"/>
            <w:vAlign w:val="center"/>
          </w:tcPr>
          <w:p w14:paraId="59F6739D" w14:textId="77777777" w:rsidR="00701B41" w:rsidRDefault="00701B41" w:rsidP="00701B41">
            <w:pPr>
              <w:jc w:val="center"/>
            </w:pPr>
          </w:p>
        </w:tc>
        <w:tc>
          <w:tcPr>
            <w:tcW w:w="494" w:type="dxa"/>
            <w:shd w:val="clear" w:color="auto" w:fill="BFBFBF" w:themeFill="background1" w:themeFillShade="BF"/>
            <w:vAlign w:val="center"/>
          </w:tcPr>
          <w:p w14:paraId="5EBE23E7" w14:textId="77777777" w:rsidR="00701B41" w:rsidRDefault="00701B41" w:rsidP="00701B41">
            <w:pPr>
              <w:jc w:val="center"/>
            </w:pPr>
          </w:p>
        </w:tc>
        <w:tc>
          <w:tcPr>
            <w:tcW w:w="494" w:type="dxa"/>
            <w:shd w:val="clear" w:color="auto" w:fill="auto"/>
            <w:vAlign w:val="center"/>
          </w:tcPr>
          <w:p w14:paraId="3F7434E7" w14:textId="77777777" w:rsidR="00701B41" w:rsidRDefault="00701B41" w:rsidP="00701B41">
            <w:pPr>
              <w:jc w:val="center"/>
            </w:pPr>
          </w:p>
        </w:tc>
        <w:tc>
          <w:tcPr>
            <w:tcW w:w="494" w:type="dxa"/>
            <w:shd w:val="clear" w:color="auto" w:fill="auto"/>
            <w:vAlign w:val="center"/>
          </w:tcPr>
          <w:p w14:paraId="681E4F8B" w14:textId="77777777" w:rsidR="00701B41" w:rsidRDefault="00701B41" w:rsidP="00701B41">
            <w:pPr>
              <w:jc w:val="center"/>
            </w:pPr>
          </w:p>
        </w:tc>
        <w:tc>
          <w:tcPr>
            <w:tcW w:w="494" w:type="dxa"/>
            <w:shd w:val="clear" w:color="auto" w:fill="auto"/>
            <w:vAlign w:val="center"/>
          </w:tcPr>
          <w:p w14:paraId="6DDE683A" w14:textId="77777777" w:rsidR="00701B41" w:rsidRDefault="00701B41" w:rsidP="00701B41">
            <w:pPr>
              <w:jc w:val="center"/>
            </w:pPr>
          </w:p>
        </w:tc>
        <w:tc>
          <w:tcPr>
            <w:tcW w:w="494" w:type="dxa"/>
            <w:shd w:val="clear" w:color="auto" w:fill="auto"/>
            <w:vAlign w:val="center"/>
          </w:tcPr>
          <w:p w14:paraId="08516605" w14:textId="77777777" w:rsidR="00701B41" w:rsidRDefault="00701B41" w:rsidP="00701B41">
            <w:pPr>
              <w:jc w:val="center"/>
            </w:pPr>
          </w:p>
        </w:tc>
        <w:tc>
          <w:tcPr>
            <w:tcW w:w="494" w:type="dxa"/>
            <w:shd w:val="clear" w:color="auto" w:fill="auto"/>
            <w:vAlign w:val="center"/>
          </w:tcPr>
          <w:p w14:paraId="35C3857D" w14:textId="77777777" w:rsidR="00701B41" w:rsidRDefault="00701B41" w:rsidP="00701B41">
            <w:pPr>
              <w:jc w:val="center"/>
            </w:pPr>
          </w:p>
        </w:tc>
      </w:tr>
      <w:tr w:rsidR="00597DFC" w14:paraId="29630F62" w14:textId="77777777" w:rsidTr="008A3E32">
        <w:tc>
          <w:tcPr>
            <w:tcW w:w="2040" w:type="dxa"/>
            <w:vMerge/>
            <w:vAlign w:val="center"/>
          </w:tcPr>
          <w:p w14:paraId="6AD111E9" w14:textId="77777777" w:rsidR="00597DFC" w:rsidRDefault="00597DFC" w:rsidP="008B5710"/>
        </w:tc>
        <w:tc>
          <w:tcPr>
            <w:tcW w:w="2024" w:type="dxa"/>
            <w:vAlign w:val="center"/>
          </w:tcPr>
          <w:p w14:paraId="71A908B5" w14:textId="5851F1F4" w:rsidR="00597DFC" w:rsidRDefault="00597DFC" w:rsidP="008B5710">
            <w:r>
              <w:t>Promoting a national campaign to promote CSR funding for biodiversity</w:t>
            </w:r>
          </w:p>
        </w:tc>
        <w:tc>
          <w:tcPr>
            <w:tcW w:w="1495" w:type="dxa"/>
            <w:vAlign w:val="center"/>
          </w:tcPr>
          <w:p w14:paraId="7CC00BB3" w14:textId="77777777" w:rsidR="00597DFC" w:rsidRDefault="00597DFC" w:rsidP="008B5710"/>
        </w:tc>
        <w:tc>
          <w:tcPr>
            <w:tcW w:w="494" w:type="dxa"/>
            <w:shd w:val="clear" w:color="auto" w:fill="auto"/>
            <w:vAlign w:val="center"/>
          </w:tcPr>
          <w:p w14:paraId="6E8DCD48" w14:textId="77777777" w:rsidR="00597DFC" w:rsidRDefault="00597DFC" w:rsidP="008B5710">
            <w:pPr>
              <w:jc w:val="center"/>
            </w:pPr>
          </w:p>
        </w:tc>
        <w:tc>
          <w:tcPr>
            <w:tcW w:w="494" w:type="dxa"/>
            <w:shd w:val="clear" w:color="auto" w:fill="BFBFBF" w:themeFill="background1" w:themeFillShade="BF"/>
            <w:vAlign w:val="center"/>
          </w:tcPr>
          <w:p w14:paraId="51093BB7" w14:textId="77777777" w:rsidR="00597DFC" w:rsidRDefault="00597DFC" w:rsidP="008B5710">
            <w:pPr>
              <w:jc w:val="center"/>
            </w:pPr>
          </w:p>
        </w:tc>
        <w:tc>
          <w:tcPr>
            <w:tcW w:w="494" w:type="dxa"/>
            <w:shd w:val="clear" w:color="auto" w:fill="BFBFBF" w:themeFill="background1" w:themeFillShade="BF"/>
            <w:vAlign w:val="center"/>
          </w:tcPr>
          <w:p w14:paraId="6A44BF5C" w14:textId="77777777" w:rsidR="00597DFC" w:rsidRDefault="00597DFC" w:rsidP="008B5710">
            <w:pPr>
              <w:jc w:val="center"/>
            </w:pPr>
          </w:p>
        </w:tc>
        <w:tc>
          <w:tcPr>
            <w:tcW w:w="494" w:type="dxa"/>
            <w:shd w:val="clear" w:color="auto" w:fill="auto"/>
            <w:vAlign w:val="center"/>
          </w:tcPr>
          <w:p w14:paraId="6A6E0B21" w14:textId="77777777" w:rsidR="00597DFC" w:rsidRDefault="00597DFC" w:rsidP="008B5710">
            <w:pPr>
              <w:jc w:val="center"/>
            </w:pPr>
          </w:p>
        </w:tc>
        <w:tc>
          <w:tcPr>
            <w:tcW w:w="494" w:type="dxa"/>
            <w:shd w:val="clear" w:color="auto" w:fill="auto"/>
            <w:vAlign w:val="center"/>
          </w:tcPr>
          <w:p w14:paraId="1AADE19C" w14:textId="77777777" w:rsidR="00597DFC" w:rsidRDefault="00597DFC" w:rsidP="008B5710">
            <w:pPr>
              <w:jc w:val="center"/>
            </w:pPr>
          </w:p>
        </w:tc>
        <w:tc>
          <w:tcPr>
            <w:tcW w:w="494" w:type="dxa"/>
            <w:shd w:val="clear" w:color="auto" w:fill="auto"/>
            <w:vAlign w:val="center"/>
          </w:tcPr>
          <w:p w14:paraId="1BB4D160" w14:textId="77777777" w:rsidR="00597DFC" w:rsidRDefault="00597DFC" w:rsidP="008B5710">
            <w:pPr>
              <w:jc w:val="center"/>
            </w:pPr>
          </w:p>
        </w:tc>
        <w:tc>
          <w:tcPr>
            <w:tcW w:w="494" w:type="dxa"/>
            <w:shd w:val="clear" w:color="auto" w:fill="auto"/>
            <w:vAlign w:val="center"/>
          </w:tcPr>
          <w:p w14:paraId="02D11018" w14:textId="77777777" w:rsidR="00597DFC" w:rsidRDefault="00597DFC" w:rsidP="008B5710">
            <w:pPr>
              <w:jc w:val="center"/>
            </w:pPr>
          </w:p>
        </w:tc>
      </w:tr>
      <w:tr w:rsidR="008B5710" w14:paraId="3DB78D86" w14:textId="77777777" w:rsidTr="008A3E32">
        <w:tc>
          <w:tcPr>
            <w:tcW w:w="2040" w:type="dxa"/>
            <w:vMerge/>
            <w:vAlign w:val="center"/>
          </w:tcPr>
          <w:p w14:paraId="702599A3" w14:textId="77777777" w:rsidR="008B5710" w:rsidRDefault="008B5710" w:rsidP="008B5710"/>
        </w:tc>
        <w:tc>
          <w:tcPr>
            <w:tcW w:w="2024" w:type="dxa"/>
            <w:vAlign w:val="center"/>
          </w:tcPr>
          <w:p w14:paraId="6D83E56B" w14:textId="162CFBA5" w:rsidR="008B5710" w:rsidRDefault="00701B41" w:rsidP="008B5710">
            <w:r>
              <w:t>Presenting biodiversity investment opportunities to CSR funding</w:t>
            </w:r>
          </w:p>
        </w:tc>
        <w:tc>
          <w:tcPr>
            <w:tcW w:w="1495" w:type="dxa"/>
            <w:vAlign w:val="center"/>
          </w:tcPr>
          <w:p w14:paraId="166DF1C4" w14:textId="77777777" w:rsidR="008B5710" w:rsidRDefault="008B5710" w:rsidP="008B5710">
            <w:r>
              <w:t>MMDE,</w:t>
            </w:r>
          </w:p>
          <w:p w14:paraId="78A65E45" w14:textId="12E0B45D" w:rsidR="008B5710" w:rsidRDefault="008B5710" w:rsidP="008B5710">
            <w:r>
              <w:t>MLGPC</w:t>
            </w:r>
          </w:p>
        </w:tc>
        <w:tc>
          <w:tcPr>
            <w:tcW w:w="494" w:type="dxa"/>
            <w:shd w:val="clear" w:color="auto" w:fill="auto"/>
            <w:vAlign w:val="center"/>
          </w:tcPr>
          <w:p w14:paraId="217B812B" w14:textId="77777777" w:rsidR="008B5710" w:rsidRDefault="008B5710" w:rsidP="008B5710">
            <w:pPr>
              <w:jc w:val="center"/>
            </w:pPr>
          </w:p>
        </w:tc>
        <w:tc>
          <w:tcPr>
            <w:tcW w:w="494" w:type="dxa"/>
            <w:shd w:val="clear" w:color="auto" w:fill="BFBFBF" w:themeFill="background1" w:themeFillShade="BF"/>
            <w:vAlign w:val="center"/>
          </w:tcPr>
          <w:p w14:paraId="1A170B17" w14:textId="77777777" w:rsidR="008B5710" w:rsidRDefault="008B5710" w:rsidP="008B5710">
            <w:pPr>
              <w:jc w:val="center"/>
            </w:pPr>
          </w:p>
        </w:tc>
        <w:tc>
          <w:tcPr>
            <w:tcW w:w="494" w:type="dxa"/>
            <w:shd w:val="clear" w:color="auto" w:fill="BFBFBF" w:themeFill="background1" w:themeFillShade="BF"/>
            <w:vAlign w:val="center"/>
          </w:tcPr>
          <w:p w14:paraId="01113B3D" w14:textId="77777777" w:rsidR="008B5710" w:rsidRDefault="008B5710" w:rsidP="008B5710">
            <w:pPr>
              <w:jc w:val="center"/>
            </w:pPr>
          </w:p>
        </w:tc>
        <w:tc>
          <w:tcPr>
            <w:tcW w:w="494" w:type="dxa"/>
            <w:shd w:val="clear" w:color="auto" w:fill="auto"/>
            <w:vAlign w:val="center"/>
          </w:tcPr>
          <w:p w14:paraId="0D1A4A63" w14:textId="77777777" w:rsidR="008B5710" w:rsidRDefault="008B5710" w:rsidP="008B5710">
            <w:pPr>
              <w:jc w:val="center"/>
            </w:pPr>
          </w:p>
        </w:tc>
        <w:tc>
          <w:tcPr>
            <w:tcW w:w="494" w:type="dxa"/>
            <w:shd w:val="clear" w:color="auto" w:fill="auto"/>
            <w:vAlign w:val="center"/>
          </w:tcPr>
          <w:p w14:paraId="44A4666C" w14:textId="77777777" w:rsidR="008B5710" w:rsidRDefault="008B5710" w:rsidP="008B5710">
            <w:pPr>
              <w:jc w:val="center"/>
            </w:pPr>
          </w:p>
        </w:tc>
        <w:tc>
          <w:tcPr>
            <w:tcW w:w="494" w:type="dxa"/>
            <w:shd w:val="clear" w:color="auto" w:fill="auto"/>
            <w:vAlign w:val="center"/>
          </w:tcPr>
          <w:p w14:paraId="71FA13E3" w14:textId="77777777" w:rsidR="008B5710" w:rsidRDefault="008B5710" w:rsidP="008B5710">
            <w:pPr>
              <w:jc w:val="center"/>
            </w:pPr>
          </w:p>
        </w:tc>
        <w:tc>
          <w:tcPr>
            <w:tcW w:w="494" w:type="dxa"/>
            <w:shd w:val="clear" w:color="auto" w:fill="auto"/>
            <w:vAlign w:val="center"/>
          </w:tcPr>
          <w:p w14:paraId="21D9DB1C" w14:textId="77777777" w:rsidR="008B5710" w:rsidRDefault="008B5710" w:rsidP="008B5710">
            <w:pPr>
              <w:jc w:val="center"/>
            </w:pPr>
          </w:p>
        </w:tc>
      </w:tr>
      <w:tr w:rsidR="008B5710" w14:paraId="506FC67C" w14:textId="77777777" w:rsidTr="008A3E32">
        <w:tc>
          <w:tcPr>
            <w:tcW w:w="2040" w:type="dxa"/>
            <w:vMerge/>
            <w:vAlign w:val="center"/>
          </w:tcPr>
          <w:p w14:paraId="45BD2B0A" w14:textId="77777777" w:rsidR="008B5710" w:rsidRDefault="008B5710" w:rsidP="008B5710"/>
        </w:tc>
        <w:tc>
          <w:tcPr>
            <w:tcW w:w="2024" w:type="dxa"/>
            <w:vAlign w:val="center"/>
          </w:tcPr>
          <w:p w14:paraId="052904EA" w14:textId="6AD18C50" w:rsidR="008B5710" w:rsidRDefault="008B5710" w:rsidP="008B5710">
            <w:r>
              <w:t>Presenting the scheme for corporate sector and public sector at national and local levels</w:t>
            </w:r>
          </w:p>
        </w:tc>
        <w:tc>
          <w:tcPr>
            <w:tcW w:w="1495" w:type="dxa"/>
            <w:vAlign w:val="center"/>
          </w:tcPr>
          <w:p w14:paraId="2C1DDF99" w14:textId="77777777" w:rsidR="008B5710" w:rsidRDefault="008B5710" w:rsidP="008B5710">
            <w:r>
              <w:t>MMDE,</w:t>
            </w:r>
          </w:p>
          <w:p w14:paraId="6360A2BA" w14:textId="1117B345" w:rsidR="008B5710" w:rsidRDefault="008B5710" w:rsidP="008B5710">
            <w:r>
              <w:t>MLGPC</w:t>
            </w:r>
          </w:p>
        </w:tc>
        <w:tc>
          <w:tcPr>
            <w:tcW w:w="494" w:type="dxa"/>
            <w:shd w:val="clear" w:color="auto" w:fill="auto"/>
            <w:vAlign w:val="center"/>
          </w:tcPr>
          <w:p w14:paraId="0D4F9FA0" w14:textId="77777777" w:rsidR="008B5710" w:rsidRDefault="008B5710" w:rsidP="008B5710">
            <w:pPr>
              <w:jc w:val="center"/>
            </w:pPr>
          </w:p>
        </w:tc>
        <w:tc>
          <w:tcPr>
            <w:tcW w:w="494" w:type="dxa"/>
            <w:shd w:val="clear" w:color="auto" w:fill="auto"/>
            <w:vAlign w:val="center"/>
          </w:tcPr>
          <w:p w14:paraId="42AB7FBD" w14:textId="77777777" w:rsidR="008B5710" w:rsidRDefault="008B5710" w:rsidP="008B5710">
            <w:pPr>
              <w:jc w:val="center"/>
            </w:pPr>
          </w:p>
        </w:tc>
        <w:tc>
          <w:tcPr>
            <w:tcW w:w="494" w:type="dxa"/>
            <w:shd w:val="clear" w:color="auto" w:fill="BFBFBF" w:themeFill="background1" w:themeFillShade="BF"/>
            <w:vAlign w:val="center"/>
          </w:tcPr>
          <w:p w14:paraId="48503B7E" w14:textId="77777777" w:rsidR="008B5710" w:rsidRDefault="008B5710" w:rsidP="008B5710">
            <w:pPr>
              <w:jc w:val="center"/>
            </w:pPr>
          </w:p>
        </w:tc>
        <w:tc>
          <w:tcPr>
            <w:tcW w:w="494" w:type="dxa"/>
            <w:shd w:val="clear" w:color="auto" w:fill="auto"/>
            <w:vAlign w:val="center"/>
          </w:tcPr>
          <w:p w14:paraId="490735B4" w14:textId="77777777" w:rsidR="008B5710" w:rsidRDefault="008B5710" w:rsidP="008B5710">
            <w:pPr>
              <w:jc w:val="center"/>
            </w:pPr>
          </w:p>
        </w:tc>
        <w:tc>
          <w:tcPr>
            <w:tcW w:w="494" w:type="dxa"/>
            <w:shd w:val="clear" w:color="auto" w:fill="auto"/>
            <w:vAlign w:val="center"/>
          </w:tcPr>
          <w:p w14:paraId="34A40791" w14:textId="77777777" w:rsidR="008B5710" w:rsidRDefault="008B5710" w:rsidP="008B5710">
            <w:pPr>
              <w:jc w:val="center"/>
            </w:pPr>
          </w:p>
        </w:tc>
        <w:tc>
          <w:tcPr>
            <w:tcW w:w="494" w:type="dxa"/>
            <w:shd w:val="clear" w:color="auto" w:fill="auto"/>
            <w:vAlign w:val="center"/>
          </w:tcPr>
          <w:p w14:paraId="13C322F7" w14:textId="77777777" w:rsidR="008B5710" w:rsidRDefault="008B5710" w:rsidP="008B5710">
            <w:pPr>
              <w:jc w:val="center"/>
            </w:pPr>
          </w:p>
        </w:tc>
        <w:tc>
          <w:tcPr>
            <w:tcW w:w="494" w:type="dxa"/>
            <w:shd w:val="clear" w:color="auto" w:fill="auto"/>
            <w:vAlign w:val="center"/>
          </w:tcPr>
          <w:p w14:paraId="402116AD" w14:textId="77777777" w:rsidR="008B5710" w:rsidRDefault="008B5710" w:rsidP="008B5710">
            <w:pPr>
              <w:jc w:val="center"/>
            </w:pPr>
          </w:p>
        </w:tc>
      </w:tr>
      <w:tr w:rsidR="008B5710" w14:paraId="2CB0FFE3" w14:textId="77777777" w:rsidTr="008A3E32">
        <w:tc>
          <w:tcPr>
            <w:tcW w:w="2040" w:type="dxa"/>
            <w:vMerge w:val="restart"/>
            <w:vAlign w:val="center"/>
          </w:tcPr>
          <w:p w14:paraId="6B1E6281" w14:textId="77777777" w:rsidR="008B5710" w:rsidRDefault="008B5710" w:rsidP="008B5710">
            <w:r>
              <w:t>Implementing the CSR scheme</w:t>
            </w:r>
          </w:p>
        </w:tc>
        <w:tc>
          <w:tcPr>
            <w:tcW w:w="2024" w:type="dxa"/>
            <w:vAlign w:val="center"/>
          </w:tcPr>
          <w:p w14:paraId="07B5D871" w14:textId="11115665" w:rsidR="008B5710" w:rsidRDefault="00E26FDB" w:rsidP="008B5710">
            <w:r>
              <w:t>Implementing projects</w:t>
            </w:r>
          </w:p>
        </w:tc>
        <w:tc>
          <w:tcPr>
            <w:tcW w:w="1495" w:type="dxa"/>
            <w:vAlign w:val="center"/>
          </w:tcPr>
          <w:p w14:paraId="4A8E0FDA" w14:textId="77777777" w:rsidR="008B5710" w:rsidRDefault="008B5710" w:rsidP="008B5710">
            <w:r>
              <w:t>MMDE,</w:t>
            </w:r>
          </w:p>
          <w:p w14:paraId="50CDC31C" w14:textId="4702E8E6" w:rsidR="008B5710" w:rsidRDefault="008B5710" w:rsidP="008B5710">
            <w:r>
              <w:t>MLGPC</w:t>
            </w:r>
          </w:p>
        </w:tc>
        <w:tc>
          <w:tcPr>
            <w:tcW w:w="494" w:type="dxa"/>
            <w:shd w:val="clear" w:color="auto" w:fill="auto"/>
            <w:vAlign w:val="center"/>
          </w:tcPr>
          <w:p w14:paraId="00C2FB97" w14:textId="77777777" w:rsidR="008B5710" w:rsidRDefault="008B5710" w:rsidP="008B5710">
            <w:pPr>
              <w:jc w:val="center"/>
            </w:pPr>
          </w:p>
        </w:tc>
        <w:tc>
          <w:tcPr>
            <w:tcW w:w="494" w:type="dxa"/>
            <w:shd w:val="clear" w:color="auto" w:fill="auto"/>
            <w:vAlign w:val="center"/>
          </w:tcPr>
          <w:p w14:paraId="533A9158" w14:textId="77777777" w:rsidR="008B5710" w:rsidRDefault="008B5710" w:rsidP="008B5710">
            <w:pPr>
              <w:jc w:val="center"/>
            </w:pPr>
          </w:p>
        </w:tc>
        <w:tc>
          <w:tcPr>
            <w:tcW w:w="494" w:type="dxa"/>
            <w:shd w:val="clear" w:color="auto" w:fill="BFBFBF" w:themeFill="background1" w:themeFillShade="BF"/>
            <w:vAlign w:val="center"/>
          </w:tcPr>
          <w:p w14:paraId="08E6AD5F" w14:textId="77777777" w:rsidR="008B5710" w:rsidRDefault="008B5710" w:rsidP="008B5710">
            <w:pPr>
              <w:jc w:val="center"/>
            </w:pPr>
          </w:p>
        </w:tc>
        <w:tc>
          <w:tcPr>
            <w:tcW w:w="494" w:type="dxa"/>
            <w:shd w:val="clear" w:color="auto" w:fill="BFBFBF" w:themeFill="background1" w:themeFillShade="BF"/>
            <w:vAlign w:val="center"/>
          </w:tcPr>
          <w:p w14:paraId="1495D0A2" w14:textId="77777777" w:rsidR="008B5710" w:rsidRDefault="008B5710" w:rsidP="008B5710">
            <w:pPr>
              <w:jc w:val="center"/>
            </w:pPr>
          </w:p>
        </w:tc>
        <w:tc>
          <w:tcPr>
            <w:tcW w:w="494" w:type="dxa"/>
            <w:shd w:val="clear" w:color="auto" w:fill="auto"/>
            <w:vAlign w:val="center"/>
          </w:tcPr>
          <w:p w14:paraId="52719664" w14:textId="77777777" w:rsidR="008B5710" w:rsidRDefault="008B5710" w:rsidP="008B5710">
            <w:pPr>
              <w:jc w:val="center"/>
            </w:pPr>
          </w:p>
        </w:tc>
        <w:tc>
          <w:tcPr>
            <w:tcW w:w="494" w:type="dxa"/>
            <w:shd w:val="clear" w:color="auto" w:fill="auto"/>
            <w:vAlign w:val="center"/>
          </w:tcPr>
          <w:p w14:paraId="6AA3555D" w14:textId="77777777" w:rsidR="008B5710" w:rsidRDefault="008B5710" w:rsidP="008B5710">
            <w:pPr>
              <w:jc w:val="center"/>
            </w:pPr>
          </w:p>
        </w:tc>
        <w:tc>
          <w:tcPr>
            <w:tcW w:w="494" w:type="dxa"/>
            <w:shd w:val="clear" w:color="auto" w:fill="auto"/>
            <w:vAlign w:val="center"/>
          </w:tcPr>
          <w:p w14:paraId="170EC53A" w14:textId="77777777" w:rsidR="008B5710" w:rsidRDefault="008B5710" w:rsidP="008B5710">
            <w:pPr>
              <w:jc w:val="center"/>
            </w:pPr>
          </w:p>
        </w:tc>
      </w:tr>
      <w:tr w:rsidR="008B5710" w14:paraId="2B9026BC" w14:textId="77777777" w:rsidTr="008A3E32">
        <w:tc>
          <w:tcPr>
            <w:tcW w:w="2040" w:type="dxa"/>
            <w:vMerge/>
            <w:vAlign w:val="center"/>
          </w:tcPr>
          <w:p w14:paraId="1D557BB0" w14:textId="77777777" w:rsidR="008B5710" w:rsidRDefault="008B5710" w:rsidP="008B5710"/>
        </w:tc>
        <w:tc>
          <w:tcPr>
            <w:tcW w:w="2024" w:type="dxa"/>
            <w:vAlign w:val="center"/>
          </w:tcPr>
          <w:p w14:paraId="7376C8B4" w14:textId="006F6308" w:rsidR="008B5710" w:rsidRDefault="008B5710" w:rsidP="008B5710">
            <w:r>
              <w:t>Data reporting and compilation</w:t>
            </w:r>
          </w:p>
        </w:tc>
        <w:tc>
          <w:tcPr>
            <w:tcW w:w="1495" w:type="dxa"/>
            <w:vAlign w:val="center"/>
          </w:tcPr>
          <w:p w14:paraId="79CC3310" w14:textId="6E427C82" w:rsidR="008B5710" w:rsidRDefault="008B5710" w:rsidP="008B5710">
            <w:r>
              <w:t>MMDE</w:t>
            </w:r>
          </w:p>
        </w:tc>
        <w:tc>
          <w:tcPr>
            <w:tcW w:w="494" w:type="dxa"/>
            <w:shd w:val="clear" w:color="auto" w:fill="auto"/>
            <w:vAlign w:val="center"/>
          </w:tcPr>
          <w:p w14:paraId="29CFE872" w14:textId="77777777" w:rsidR="008B5710" w:rsidRDefault="008B5710" w:rsidP="008B5710">
            <w:pPr>
              <w:jc w:val="center"/>
            </w:pPr>
          </w:p>
        </w:tc>
        <w:tc>
          <w:tcPr>
            <w:tcW w:w="494" w:type="dxa"/>
            <w:shd w:val="clear" w:color="auto" w:fill="auto"/>
            <w:vAlign w:val="center"/>
          </w:tcPr>
          <w:p w14:paraId="28152C2A" w14:textId="77777777" w:rsidR="008B5710" w:rsidRDefault="008B5710" w:rsidP="008B5710">
            <w:pPr>
              <w:jc w:val="center"/>
            </w:pPr>
          </w:p>
        </w:tc>
        <w:tc>
          <w:tcPr>
            <w:tcW w:w="494" w:type="dxa"/>
            <w:shd w:val="clear" w:color="auto" w:fill="auto"/>
            <w:vAlign w:val="center"/>
          </w:tcPr>
          <w:p w14:paraId="4F4C1D6D" w14:textId="77777777" w:rsidR="008B5710" w:rsidRDefault="008B5710" w:rsidP="008B5710">
            <w:pPr>
              <w:jc w:val="center"/>
            </w:pPr>
          </w:p>
        </w:tc>
        <w:tc>
          <w:tcPr>
            <w:tcW w:w="494" w:type="dxa"/>
            <w:shd w:val="clear" w:color="auto" w:fill="BFBFBF" w:themeFill="background1" w:themeFillShade="BF"/>
            <w:vAlign w:val="center"/>
          </w:tcPr>
          <w:p w14:paraId="3611B417" w14:textId="77777777" w:rsidR="008B5710" w:rsidRDefault="008B5710" w:rsidP="008B5710">
            <w:pPr>
              <w:jc w:val="center"/>
            </w:pPr>
          </w:p>
        </w:tc>
        <w:tc>
          <w:tcPr>
            <w:tcW w:w="494" w:type="dxa"/>
            <w:shd w:val="clear" w:color="auto" w:fill="auto"/>
            <w:vAlign w:val="center"/>
          </w:tcPr>
          <w:p w14:paraId="6036B9DC" w14:textId="77777777" w:rsidR="008B5710" w:rsidRDefault="008B5710" w:rsidP="008B5710">
            <w:pPr>
              <w:jc w:val="center"/>
            </w:pPr>
          </w:p>
        </w:tc>
        <w:tc>
          <w:tcPr>
            <w:tcW w:w="494" w:type="dxa"/>
            <w:shd w:val="clear" w:color="auto" w:fill="auto"/>
            <w:vAlign w:val="center"/>
          </w:tcPr>
          <w:p w14:paraId="2E850F27" w14:textId="77777777" w:rsidR="008B5710" w:rsidRDefault="008B5710" w:rsidP="008B5710">
            <w:pPr>
              <w:jc w:val="center"/>
            </w:pPr>
          </w:p>
        </w:tc>
        <w:tc>
          <w:tcPr>
            <w:tcW w:w="494" w:type="dxa"/>
            <w:shd w:val="clear" w:color="auto" w:fill="auto"/>
            <w:vAlign w:val="center"/>
          </w:tcPr>
          <w:p w14:paraId="41A32A07" w14:textId="77777777" w:rsidR="008B5710" w:rsidRDefault="008B5710" w:rsidP="008B5710">
            <w:pPr>
              <w:jc w:val="center"/>
            </w:pPr>
          </w:p>
        </w:tc>
      </w:tr>
      <w:tr w:rsidR="008B5710" w14:paraId="20E35289" w14:textId="77777777" w:rsidTr="00BD5E5F">
        <w:tc>
          <w:tcPr>
            <w:tcW w:w="2040" w:type="dxa"/>
            <w:vMerge/>
            <w:vAlign w:val="center"/>
          </w:tcPr>
          <w:p w14:paraId="542ACC1E" w14:textId="77777777" w:rsidR="008B5710" w:rsidRDefault="008B5710" w:rsidP="008B5710"/>
        </w:tc>
        <w:tc>
          <w:tcPr>
            <w:tcW w:w="2024" w:type="dxa"/>
            <w:vAlign w:val="center"/>
          </w:tcPr>
          <w:p w14:paraId="08E5823A" w14:textId="70A9BE36" w:rsidR="008B5710" w:rsidRDefault="008B5710" w:rsidP="008B5710">
            <w:r>
              <w:t>Monitoring and evaluation</w:t>
            </w:r>
          </w:p>
        </w:tc>
        <w:tc>
          <w:tcPr>
            <w:tcW w:w="1495" w:type="dxa"/>
            <w:vAlign w:val="center"/>
          </w:tcPr>
          <w:p w14:paraId="67C1B10D" w14:textId="17E65FD7" w:rsidR="008B5710" w:rsidRDefault="008B5710" w:rsidP="008B5710">
            <w:r>
              <w:t>MMDE</w:t>
            </w:r>
          </w:p>
        </w:tc>
        <w:tc>
          <w:tcPr>
            <w:tcW w:w="494" w:type="dxa"/>
            <w:shd w:val="clear" w:color="auto" w:fill="auto"/>
            <w:vAlign w:val="center"/>
          </w:tcPr>
          <w:p w14:paraId="0CB23297" w14:textId="77777777" w:rsidR="008B5710" w:rsidRDefault="008B5710" w:rsidP="008B5710">
            <w:pPr>
              <w:jc w:val="center"/>
            </w:pPr>
          </w:p>
        </w:tc>
        <w:tc>
          <w:tcPr>
            <w:tcW w:w="494" w:type="dxa"/>
            <w:shd w:val="clear" w:color="auto" w:fill="auto"/>
            <w:vAlign w:val="center"/>
          </w:tcPr>
          <w:p w14:paraId="2B4B8FCB" w14:textId="77777777" w:rsidR="008B5710" w:rsidRDefault="008B5710" w:rsidP="008B5710">
            <w:pPr>
              <w:jc w:val="center"/>
            </w:pPr>
          </w:p>
        </w:tc>
        <w:tc>
          <w:tcPr>
            <w:tcW w:w="494" w:type="dxa"/>
            <w:shd w:val="clear" w:color="auto" w:fill="auto"/>
            <w:vAlign w:val="center"/>
          </w:tcPr>
          <w:p w14:paraId="0CD8166C" w14:textId="77777777" w:rsidR="008B5710" w:rsidRDefault="008B5710" w:rsidP="008B5710">
            <w:pPr>
              <w:jc w:val="center"/>
            </w:pPr>
          </w:p>
        </w:tc>
        <w:tc>
          <w:tcPr>
            <w:tcW w:w="494" w:type="dxa"/>
            <w:shd w:val="clear" w:color="auto" w:fill="BFBFBF" w:themeFill="background1" w:themeFillShade="BF"/>
            <w:vAlign w:val="center"/>
          </w:tcPr>
          <w:p w14:paraId="58E0DF23" w14:textId="77777777" w:rsidR="008B5710" w:rsidRDefault="008B5710" w:rsidP="008B5710">
            <w:pPr>
              <w:jc w:val="center"/>
            </w:pPr>
          </w:p>
        </w:tc>
        <w:tc>
          <w:tcPr>
            <w:tcW w:w="494" w:type="dxa"/>
            <w:shd w:val="clear" w:color="auto" w:fill="auto"/>
            <w:vAlign w:val="center"/>
          </w:tcPr>
          <w:p w14:paraId="45DD1A81" w14:textId="77777777" w:rsidR="008B5710" w:rsidRDefault="008B5710" w:rsidP="008B5710">
            <w:pPr>
              <w:jc w:val="center"/>
            </w:pPr>
          </w:p>
        </w:tc>
        <w:tc>
          <w:tcPr>
            <w:tcW w:w="494" w:type="dxa"/>
            <w:shd w:val="clear" w:color="auto" w:fill="auto"/>
            <w:vAlign w:val="center"/>
          </w:tcPr>
          <w:p w14:paraId="4E4EAA11" w14:textId="77777777" w:rsidR="008B5710" w:rsidRDefault="008B5710" w:rsidP="008B5710">
            <w:pPr>
              <w:jc w:val="center"/>
            </w:pPr>
          </w:p>
        </w:tc>
        <w:tc>
          <w:tcPr>
            <w:tcW w:w="494" w:type="dxa"/>
            <w:shd w:val="clear" w:color="auto" w:fill="auto"/>
            <w:vAlign w:val="center"/>
          </w:tcPr>
          <w:p w14:paraId="3ADF3AE6" w14:textId="77777777" w:rsidR="008B5710" w:rsidRDefault="008B5710" w:rsidP="008B5710">
            <w:pPr>
              <w:jc w:val="center"/>
            </w:pPr>
          </w:p>
        </w:tc>
      </w:tr>
      <w:tr w:rsidR="008B5710" w14:paraId="773FE8EF" w14:textId="77777777" w:rsidTr="006257E1">
        <w:tc>
          <w:tcPr>
            <w:tcW w:w="2040" w:type="dxa"/>
            <w:vAlign w:val="center"/>
          </w:tcPr>
          <w:p w14:paraId="5BCC1DA5" w14:textId="77777777" w:rsidR="008B5710" w:rsidRDefault="008B5710" w:rsidP="008B5710">
            <w:r>
              <w:t xml:space="preserve">Budget </w:t>
            </w:r>
          </w:p>
        </w:tc>
        <w:tc>
          <w:tcPr>
            <w:tcW w:w="6977" w:type="dxa"/>
            <w:gridSpan w:val="9"/>
            <w:vAlign w:val="center"/>
          </w:tcPr>
          <w:p w14:paraId="409A3715" w14:textId="3FA013E7" w:rsidR="008B5710" w:rsidRDefault="00701B41" w:rsidP="008B5710">
            <w:r w:rsidRPr="00701B41">
              <w:t>US$ 120,000</w:t>
            </w:r>
          </w:p>
        </w:tc>
      </w:tr>
      <w:tr w:rsidR="00701B41" w14:paraId="3341907F" w14:textId="77777777" w:rsidTr="006257E1">
        <w:tc>
          <w:tcPr>
            <w:tcW w:w="2040" w:type="dxa"/>
            <w:vAlign w:val="center"/>
          </w:tcPr>
          <w:p w14:paraId="69D7FD87" w14:textId="77777777" w:rsidR="00701B41" w:rsidRDefault="00701B41" w:rsidP="00701B41">
            <w:r>
              <w:t>Financial result</w:t>
            </w:r>
          </w:p>
        </w:tc>
        <w:tc>
          <w:tcPr>
            <w:tcW w:w="6977" w:type="dxa"/>
            <w:gridSpan w:val="9"/>
            <w:vAlign w:val="center"/>
          </w:tcPr>
          <w:p w14:paraId="1E2602AE" w14:textId="23E14CB2" w:rsidR="00701B41" w:rsidRDefault="00701B41" w:rsidP="00701B41">
            <w:r w:rsidRPr="005B74B9">
              <w:t xml:space="preserve">Expected allocation of CSR on biodiversity is about LKR 1 billion, equivalent </w:t>
            </w:r>
            <w:r>
              <w:t>to US$ 6 million a year; US$ 24 million for 2021-2024</w:t>
            </w:r>
          </w:p>
        </w:tc>
      </w:tr>
    </w:tbl>
    <w:p w14:paraId="0BF459D3" w14:textId="77777777" w:rsidR="000B7821" w:rsidRDefault="000B7821" w:rsidP="00BB5D98">
      <w:pPr>
        <w:jc w:val="both"/>
      </w:pPr>
    </w:p>
    <w:p w14:paraId="3826B13F" w14:textId="5B444489" w:rsidR="008F32D3" w:rsidRPr="00A212BE" w:rsidRDefault="008F32D3" w:rsidP="00096769">
      <w:pPr>
        <w:pStyle w:val="Heading4"/>
      </w:pPr>
      <w:r w:rsidRPr="00A212BE">
        <w:t xml:space="preserve">5. Lotteries: </w:t>
      </w:r>
      <w:r w:rsidR="00290692" w:rsidRPr="00A212BE">
        <w:t>a lottery for biodiversity conservation</w:t>
      </w:r>
    </w:p>
    <w:p w14:paraId="3F6A7D34" w14:textId="75544C35" w:rsidR="0076505B" w:rsidRDefault="00FF7C8E" w:rsidP="00BB5D98">
      <w:pPr>
        <w:jc w:val="both"/>
      </w:pPr>
      <w:r>
        <w:t xml:space="preserve">The </w:t>
      </w:r>
      <w:r w:rsidR="00DF077B">
        <w:t>proposal</w:t>
      </w:r>
      <w:r>
        <w:t xml:space="preserve"> is to introduce </w:t>
      </w:r>
      <w:r w:rsidRPr="00FF7C8E">
        <w:t>a</w:t>
      </w:r>
      <w:r>
        <w:t>n online</w:t>
      </w:r>
      <w:r w:rsidRPr="00FF7C8E">
        <w:t xml:space="preserve"> lottery </w:t>
      </w:r>
      <w:r>
        <w:t xml:space="preserve">targeting a middle-income market segment in order </w:t>
      </w:r>
      <w:r w:rsidRPr="00FF7C8E">
        <w:t>to mobilize finances and build up a fund for biodiversity conservation</w:t>
      </w:r>
      <w:r>
        <w:t>.</w:t>
      </w:r>
      <w:r w:rsidR="00DF077B">
        <w:t xml:space="preserve"> </w:t>
      </w:r>
    </w:p>
    <w:p w14:paraId="7351FA05" w14:textId="77777777" w:rsidR="00F27F29" w:rsidRDefault="00F27F29" w:rsidP="00BB5D98">
      <w:pPr>
        <w:jc w:val="both"/>
      </w:pPr>
      <w:r>
        <w:t>Objective</w:t>
      </w:r>
    </w:p>
    <w:p w14:paraId="2AF1929F" w14:textId="4D71D5DC" w:rsidR="00F27F29" w:rsidRDefault="009A1D0B" w:rsidP="00BB5D98">
      <w:pPr>
        <w:jc w:val="both"/>
      </w:pPr>
      <w:r>
        <w:t xml:space="preserve">To mobilize financial resources to fund </w:t>
      </w:r>
      <w:r w:rsidR="00E26FDB">
        <w:t xml:space="preserve">specific </w:t>
      </w:r>
      <w:r>
        <w:t xml:space="preserve">national </w:t>
      </w:r>
      <w:r w:rsidR="00E26FDB">
        <w:t xml:space="preserve">biodiversity projects and </w:t>
      </w:r>
      <w:proofErr w:type="spellStart"/>
      <w:r w:rsidR="00E26FDB">
        <w:t>programmes</w:t>
      </w:r>
      <w:proofErr w:type="spellEnd"/>
      <w:r w:rsidR="00E26FDB">
        <w:t>.</w:t>
      </w:r>
    </w:p>
    <w:p w14:paraId="10929A88" w14:textId="19C6D0DB" w:rsidR="00FF7C8E" w:rsidRDefault="00FF7C8E" w:rsidP="00BB5D98">
      <w:pPr>
        <w:jc w:val="both"/>
      </w:pPr>
      <w:r>
        <w:t>Description</w:t>
      </w:r>
    </w:p>
    <w:p w14:paraId="633F12CB" w14:textId="25D887B9" w:rsidR="00FF7C8E" w:rsidRDefault="001D1A9F" w:rsidP="00BB5D98">
      <w:pPr>
        <w:jc w:val="both"/>
      </w:pPr>
      <w:r>
        <w:t>Government-owned lotteries in Sri Lanka are a popular and successful means of raising funds outside the normal budgetary process for specific purposes. There are about 30 lotteries managed by two statutory bodies under the Ministry of Finance: National Lotteries Board (NLB) and Development Lotteries Board (DLB). There are on average eight lottery draws a day, each one generating revenues in the range of minimum LKR 500 thousand to as high as LKR 3 million from each draw.</w:t>
      </w:r>
      <w:r w:rsidR="00973EAC">
        <w:t xml:space="preserve"> Some of the lotteries are for general purpose of fund raising, while others are for specific purposes such scholarships for higher education, health supports, and promoting specific sectors. Among the variety of purposes of a wide range of lotteries in Sri Lanka, however, environment or biodiversity related purposes have not yet been promoted.</w:t>
      </w:r>
    </w:p>
    <w:p w14:paraId="05C0E937" w14:textId="5ABBF5D4" w:rsidR="00DF077B" w:rsidRDefault="00DF077B" w:rsidP="00BB5D98">
      <w:pPr>
        <w:jc w:val="both"/>
      </w:pPr>
      <w:r>
        <w:t xml:space="preserve">An analysis of the current lottery schemes unveils important gaps which constitute an opportunity for introducing a lottery for biodiversity conservation. The existing lotteries are in conventional printed form </w:t>
      </w:r>
      <w:r w:rsidR="00A05B61">
        <w:t xml:space="preserve">and </w:t>
      </w:r>
      <w:r>
        <w:t xml:space="preserve">sold at a price as low as LKR 20.00 targeting a lower-income market segment. </w:t>
      </w:r>
      <w:r w:rsidR="00435BC1">
        <w:t>Under th</w:t>
      </w:r>
      <w:r w:rsidR="00CE22B4">
        <w:t>ese</w:t>
      </w:r>
      <w:r w:rsidR="00435BC1">
        <w:t xml:space="preserve"> circumstances, there is greater opportunity to introduce a different online lottery, priced at for instance LKR 100 and multiple</w:t>
      </w:r>
      <w:r w:rsidR="00A05B61">
        <w:t>s</w:t>
      </w:r>
      <w:r w:rsidR="00435BC1">
        <w:t xml:space="preserve"> of that targeting a better-informed middle-income market segment; the new type of the lottery can also be sold through various transaction points of the customers such as banks, super markets, fuel stations</w:t>
      </w:r>
      <w:r w:rsidR="009B5FDD">
        <w:t>, mobile networks</w:t>
      </w:r>
      <w:r w:rsidR="00435BC1">
        <w:t xml:space="preserve"> and other similar</w:t>
      </w:r>
      <w:r w:rsidR="002F4084">
        <w:t xml:space="preserve"> locations.</w:t>
      </w:r>
    </w:p>
    <w:p w14:paraId="0D8966F5" w14:textId="08E4F182" w:rsidR="00A05B61" w:rsidRDefault="0001001D" w:rsidP="00BB5D98">
      <w:pPr>
        <w:jc w:val="both"/>
      </w:pPr>
      <w:r w:rsidRPr="0001001D">
        <w:t>For a successful implementation, the proposed lottery for biodiversity conservation needs to have specific purposes such as reforestation, coastal conservation, marine conservation and eradication of alien species with the participation of the relevant authorities.</w:t>
      </w:r>
      <w:r>
        <w:t xml:space="preserve"> </w:t>
      </w:r>
      <w:r w:rsidR="00F4375B">
        <w:t>As the proposed lottery for biodiversity conservation is expected to be significantly different from the ones which are currently available in the country, it might require new organization framework, different implementation mechanism including web-design, fund utilization mechanism, marketing and distribution systems and, perhaps a new regulatory set up. Therefore, the entire process need</w:t>
      </w:r>
      <w:r w:rsidR="00CE22B4">
        <w:t>s</w:t>
      </w:r>
      <w:r w:rsidR="00F4375B">
        <w:t xml:space="preserve"> to be designed and approved by the authorities, while the existing lottery infrastructure</w:t>
      </w:r>
      <w:r w:rsidR="002F1831">
        <w:t xml:space="preserve"> can minimize some of the implementation costs.</w:t>
      </w:r>
    </w:p>
    <w:p w14:paraId="518C3A59" w14:textId="77777777" w:rsidR="00D373EC" w:rsidRDefault="00D373EC" w:rsidP="00BB5D98">
      <w:pPr>
        <w:jc w:val="both"/>
      </w:pPr>
    </w:p>
    <w:p w14:paraId="29355415" w14:textId="77777777" w:rsidR="00D373EC" w:rsidRDefault="00D373EC" w:rsidP="00BB5D98">
      <w:pPr>
        <w:jc w:val="both"/>
      </w:pPr>
    </w:p>
    <w:p w14:paraId="338C1CB6" w14:textId="77777777" w:rsidR="00D373EC" w:rsidRDefault="00D373EC" w:rsidP="00BB5D98">
      <w:pPr>
        <w:jc w:val="both"/>
      </w:pPr>
    </w:p>
    <w:p w14:paraId="36FC367E" w14:textId="77777777" w:rsidR="00D373EC" w:rsidRDefault="00D373EC" w:rsidP="00BB5D98">
      <w:pPr>
        <w:jc w:val="both"/>
      </w:pPr>
    </w:p>
    <w:p w14:paraId="5499B5FC" w14:textId="77777777" w:rsidR="00D373EC" w:rsidRDefault="00D373EC" w:rsidP="00BB5D98">
      <w:pPr>
        <w:jc w:val="both"/>
      </w:pPr>
    </w:p>
    <w:p w14:paraId="715396B0" w14:textId="77777777" w:rsidR="00D373EC" w:rsidRDefault="00D373EC" w:rsidP="00BB5D98">
      <w:pPr>
        <w:jc w:val="both"/>
      </w:pPr>
    </w:p>
    <w:p w14:paraId="682A7D6A" w14:textId="77777777" w:rsidR="00D373EC" w:rsidRDefault="00D373EC" w:rsidP="00BB5D98">
      <w:pPr>
        <w:jc w:val="both"/>
      </w:pPr>
    </w:p>
    <w:p w14:paraId="24792919" w14:textId="77777777" w:rsidR="00D373EC" w:rsidRDefault="00D373EC" w:rsidP="00BB5D98">
      <w:pPr>
        <w:jc w:val="both"/>
      </w:pPr>
    </w:p>
    <w:p w14:paraId="12E30748" w14:textId="77777777" w:rsidR="00D373EC" w:rsidRDefault="00D373EC" w:rsidP="00BB5D98">
      <w:pPr>
        <w:jc w:val="both"/>
      </w:pPr>
    </w:p>
    <w:p w14:paraId="1A9E09E5" w14:textId="77777777" w:rsidR="00D373EC" w:rsidRDefault="00D373EC" w:rsidP="00BB5D98">
      <w:pPr>
        <w:jc w:val="both"/>
      </w:pPr>
    </w:p>
    <w:p w14:paraId="40A3CA40" w14:textId="77777777" w:rsidR="00D373EC" w:rsidRDefault="00D373EC" w:rsidP="00BB5D98">
      <w:pPr>
        <w:jc w:val="both"/>
      </w:pPr>
    </w:p>
    <w:p w14:paraId="273DA79C" w14:textId="77777777" w:rsidR="00D373EC" w:rsidRDefault="00D373EC" w:rsidP="00BB5D98">
      <w:pPr>
        <w:jc w:val="both"/>
      </w:pPr>
    </w:p>
    <w:p w14:paraId="4309163D" w14:textId="77777777" w:rsidR="00D373EC" w:rsidRDefault="00D373EC" w:rsidP="00BB5D98">
      <w:pPr>
        <w:jc w:val="both"/>
      </w:pPr>
    </w:p>
    <w:p w14:paraId="76A899F9" w14:textId="77777777" w:rsidR="00D373EC" w:rsidRDefault="00D373EC" w:rsidP="00BB5D98">
      <w:pPr>
        <w:jc w:val="both"/>
      </w:pPr>
    </w:p>
    <w:p w14:paraId="5474BE41" w14:textId="3D27EBA7" w:rsidR="0001001D" w:rsidRDefault="0001001D" w:rsidP="00BB5D98">
      <w:pPr>
        <w:jc w:val="both"/>
      </w:pPr>
      <w:r>
        <w:t>Business case</w:t>
      </w:r>
    </w:p>
    <w:p w14:paraId="1DB39EE1" w14:textId="3880AD5C" w:rsidR="00FF7C8E" w:rsidRDefault="00C003F7" w:rsidP="00BB5D98">
      <w:pPr>
        <w:jc w:val="both"/>
      </w:pPr>
      <w:r>
        <w:rPr>
          <w:noProof/>
          <w:lang w:val="en-AU" w:eastAsia="en-AU" w:bidi="si-LK"/>
        </w:rPr>
        <mc:AlternateContent>
          <mc:Choice Requires="wps">
            <w:drawing>
              <wp:anchor distT="45720" distB="45720" distL="114300" distR="114300" simplePos="0" relativeHeight="251669504" behindDoc="0" locked="0" layoutInCell="1" allowOverlap="1" wp14:anchorId="5A1B3679" wp14:editId="231AB3EE">
                <wp:simplePos x="0" y="0"/>
                <wp:positionH relativeFrom="margin">
                  <wp:align>right</wp:align>
                </wp:positionH>
                <wp:positionV relativeFrom="paragraph">
                  <wp:posOffset>6985</wp:posOffset>
                </wp:positionV>
                <wp:extent cx="2360930" cy="5194300"/>
                <wp:effectExtent l="0" t="0" r="1206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94300"/>
                        </a:xfrm>
                        <a:prstGeom prst="rect">
                          <a:avLst/>
                        </a:prstGeom>
                        <a:solidFill>
                          <a:srgbClr val="FFFFFF"/>
                        </a:solidFill>
                        <a:ln w="9525">
                          <a:solidFill>
                            <a:srgbClr val="000000"/>
                          </a:solidFill>
                          <a:miter lim="800000"/>
                          <a:headEnd/>
                          <a:tailEnd/>
                        </a:ln>
                      </wps:spPr>
                      <wps:txbx>
                        <w:txbxContent>
                          <w:p w14:paraId="65061C93" w14:textId="77777777" w:rsidR="00791098" w:rsidRPr="00B04984" w:rsidRDefault="00791098" w:rsidP="00F16C76">
                            <w:pPr>
                              <w:spacing w:before="240"/>
                              <w:rPr>
                                <w:color w:val="7F7F7F" w:themeColor="text1" w:themeTint="80"/>
                                <w:sz w:val="28"/>
                                <w:szCs w:val="28"/>
                              </w:rPr>
                            </w:pPr>
                            <w:r w:rsidRPr="00B04984">
                              <w:rPr>
                                <w:color w:val="7F7F7F" w:themeColor="text1" w:themeTint="80"/>
                                <w:sz w:val="28"/>
                                <w:szCs w:val="28"/>
                              </w:rPr>
                              <w:t>DUTCH POSTCODE LOTTERY</w:t>
                            </w:r>
                          </w:p>
                          <w:p w14:paraId="36832751" w14:textId="3C360899" w:rsidR="00791098" w:rsidRPr="00C003F7" w:rsidRDefault="00791098" w:rsidP="00F16C76">
                            <w:pPr>
                              <w:spacing w:before="240"/>
                              <w:rPr>
                                <w:color w:val="7F7F7F" w:themeColor="text1" w:themeTint="80"/>
                                <w:sz w:val="20"/>
                                <w:szCs w:val="20"/>
                              </w:rPr>
                            </w:pPr>
                            <w:r w:rsidRPr="00C003F7">
                              <w:rPr>
                                <w:color w:val="7F7F7F" w:themeColor="text1" w:themeTint="80"/>
                                <w:sz w:val="20"/>
                                <w:szCs w:val="20"/>
                              </w:rPr>
                              <w:t xml:space="preserve">There are innovative lottery schemes in some of the countries in the world such as the Dutch Postcode Lottery - the largest charity lottery in the Netherlands. The lottery number is based on postcodes in the country so that the whole </w:t>
                            </w:r>
                            <w:proofErr w:type="spellStart"/>
                            <w:r w:rsidRPr="00C003F7">
                              <w:rPr>
                                <w:color w:val="7F7F7F" w:themeColor="text1" w:themeTint="80"/>
                                <w:sz w:val="20"/>
                                <w:szCs w:val="20"/>
                              </w:rPr>
                              <w:t>neighbourhood</w:t>
                            </w:r>
                            <w:proofErr w:type="spellEnd"/>
                            <w:r w:rsidRPr="00C003F7">
                              <w:rPr>
                                <w:color w:val="7F7F7F" w:themeColor="text1" w:themeTint="80"/>
                                <w:sz w:val="20"/>
                                <w:szCs w:val="20"/>
                              </w:rPr>
                              <w:t xml:space="preserve"> in a street of one postcode area also wins together at a weekly lottery draw. </w:t>
                            </w:r>
                          </w:p>
                          <w:p w14:paraId="60882830" w14:textId="77777777" w:rsidR="00791098" w:rsidRDefault="00791098" w:rsidP="00F16C76">
                            <w:pPr>
                              <w:spacing w:before="240"/>
                              <w:jc w:val="center"/>
                              <w:rPr>
                                <w:color w:val="7F7F7F" w:themeColor="text1" w:themeTint="80"/>
                              </w:rPr>
                            </w:pPr>
                            <w:r w:rsidRPr="00EA4807">
                              <w:rPr>
                                <w:noProof/>
                                <w:color w:val="7F7F7F" w:themeColor="text1" w:themeTint="80"/>
                                <w:lang w:val="en-AU" w:eastAsia="en-AU" w:bidi="si-LK"/>
                              </w:rPr>
                              <w:drawing>
                                <wp:inline distT="0" distB="0" distL="0" distR="0" wp14:anchorId="750AD4B9" wp14:editId="3B8FB2D8">
                                  <wp:extent cx="1873250" cy="1162098"/>
                                  <wp:effectExtent l="0" t="0" r="0" b="0"/>
                                  <wp:docPr id="23" name="Picture 23" descr="E:\Folder HP 2019\BIOFIN\Finance Solutions\BFP\logos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lder HP 2019\BIOFIN\Finance Solutions\BFP\logos_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14" cy="1173924"/>
                                          </a:xfrm>
                                          <a:prstGeom prst="rect">
                                            <a:avLst/>
                                          </a:prstGeom>
                                          <a:noFill/>
                                          <a:ln>
                                            <a:noFill/>
                                          </a:ln>
                                        </pic:spPr>
                                      </pic:pic>
                                    </a:graphicData>
                                  </a:graphic>
                                </wp:inline>
                              </w:drawing>
                            </w:r>
                          </w:p>
                          <w:p w14:paraId="627AAA81" w14:textId="01DA3CFF" w:rsidR="00791098" w:rsidRPr="00C003F7" w:rsidRDefault="00791098" w:rsidP="00F16C76">
                            <w:pPr>
                              <w:spacing w:before="240"/>
                              <w:rPr>
                                <w:color w:val="7F7F7F" w:themeColor="text1" w:themeTint="80"/>
                                <w:sz w:val="20"/>
                                <w:szCs w:val="20"/>
                              </w:rPr>
                            </w:pPr>
                            <w:r w:rsidRPr="00C003F7">
                              <w:rPr>
                                <w:color w:val="7F7F7F" w:themeColor="text1" w:themeTint="80"/>
                                <w:sz w:val="20"/>
                                <w:szCs w:val="20"/>
                              </w:rPr>
                              <w:t>In 2017, the lottery was purchased by 3 million players generating €715 million out of which €357 million was granted to 112 charities.</w:t>
                            </w:r>
                          </w:p>
                          <w:p w14:paraId="16EBF460" w14:textId="77777777" w:rsidR="00791098" w:rsidRDefault="00791098" w:rsidP="00155B2A">
                            <w:pPr>
                              <w:spacing w:before="240" w:after="0"/>
                              <w:rPr>
                                <w:color w:val="7F7F7F" w:themeColor="text1" w:themeTint="80"/>
                                <w:sz w:val="18"/>
                                <w:szCs w:val="18"/>
                              </w:rPr>
                            </w:pPr>
                            <w:r w:rsidRPr="005D1985">
                              <w:rPr>
                                <w:color w:val="7F7F7F" w:themeColor="text1" w:themeTint="80"/>
                                <w:sz w:val="18"/>
                                <w:szCs w:val="18"/>
                              </w:rPr>
                              <w:t xml:space="preserve">Source: </w:t>
                            </w:r>
                            <w:hyperlink r:id="rId11" w:history="1">
                              <w:r w:rsidRPr="00825991">
                                <w:rPr>
                                  <w:rStyle w:val="Hyperlink"/>
                                  <w:color w:val="66B0FB" w:themeColor="hyperlink" w:themeTint="80"/>
                                  <w:sz w:val="18"/>
                                  <w:szCs w:val="18"/>
                                </w:rPr>
                                <w:t>https://www.novamedia.nl/about-charity-lotteries/the-netherlands/dutch-postcode-lottery</w:t>
                              </w:r>
                            </w:hyperlink>
                            <w:r>
                              <w:rPr>
                                <w:color w:val="7F7F7F" w:themeColor="text1" w:themeTint="80"/>
                                <w:sz w:val="18"/>
                                <w:szCs w:val="18"/>
                              </w:rPr>
                              <w:t xml:space="preserve"> </w:t>
                            </w:r>
                          </w:p>
                          <w:p w14:paraId="1965EC3B" w14:textId="330FAA27" w:rsidR="00791098" w:rsidRPr="005D1985" w:rsidRDefault="00791098" w:rsidP="00155B2A">
                            <w:pPr>
                              <w:rPr>
                                <w:color w:val="7F7F7F" w:themeColor="text1" w:themeTint="80"/>
                                <w:sz w:val="18"/>
                                <w:szCs w:val="18"/>
                              </w:rPr>
                            </w:pPr>
                            <w:r>
                              <w:rPr>
                                <w:color w:val="7F7F7F" w:themeColor="text1" w:themeTint="80"/>
                                <w:sz w:val="18"/>
                                <w:szCs w:val="18"/>
                              </w:rPr>
                              <w:t>Retrieved on February 23, 2019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1B3679" id="_x0000_s1028" type="#_x0000_t202" style="position:absolute;left:0;text-align:left;margin-left:134.7pt;margin-top:.55pt;width:185.9pt;height:409pt;z-index:25166950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41JgIAAE0EAAAOAAAAZHJzL2Uyb0RvYy54bWysVNtu2zAMfR+wfxD0vthxkq4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BrWbUmKY&#10;Ro0exRDIOxhIEenprS8x6sFiXBjwGENTqd7eA//uiYFNx8xO3DoHfSdYg+lN483s4uqI4yNI3X+C&#10;Bp9h+wAJaGidjtwhGwTRUabjWZqYCsfDYnaVL2fo4uhbTJfzWZ7Ey1j5fN06Hz4I0CRuKupQ+wTP&#10;Dvc+xHRY+RwSX/OgZLOVSiXD7eqNcuTAsE+26UsVvAhThvQVXS6KxcjAXyHy9P0JQsuADa+kruj1&#10;OYiVkbf3pkntGJhU4x5TVuZEZORuZDEM9ZAkO+tTQ3NEZh2M/Y3ziJsO3E9Keuztivofe+YEJeqj&#10;QXWW0/k8DkMy5ou3BRru0lNfepjhCFXRQMm43YQ0QJE3A7eoYisTv1HuMZNTytizifbTfMWhuLRT&#10;1K+/wPoJAAD//wMAUEsDBBQABgAIAAAAIQBBzhuD4AAAAAsBAAAPAAAAZHJzL2Rvd25yZXYueG1s&#10;TI9BT8MwDIXvSPyHyEjcWBoQsHVNJzS0y26UCXbMGq/p1jhVk23dv8ec4GLJfnrP7ysWo+/EGYfY&#10;BtKgJhkIpDrYlhoNm8/VwxRETIas6QKhhitGWJS3N4XJbbjQB56r1AgOoZgbDS6lPpcy1g69iZPQ&#10;I7G2D4M3idehkXYwFw73nXzMshfpTUv8wZkelw7rY3XyGuJRrZ6/w2Hjtuurqw7b9qtdL7W+vxvf&#10;5zze5iASjunPAb8M3B9KLrYLJ7JRdBqYJvFVgWDx6VUxzE7DVM0UyLKQ/xnKHwAAAP//AwBQSwEC&#10;LQAUAAYACAAAACEAtoM4kv4AAADhAQAAEwAAAAAAAAAAAAAAAAAAAAAAW0NvbnRlbnRfVHlwZXNd&#10;LnhtbFBLAQItABQABgAIAAAAIQA4/SH/1gAAAJQBAAALAAAAAAAAAAAAAAAAAC8BAABfcmVscy8u&#10;cmVsc1BLAQItABQABgAIAAAAIQDP0R41JgIAAE0EAAAOAAAAAAAAAAAAAAAAAC4CAABkcnMvZTJv&#10;RG9jLnhtbFBLAQItABQABgAIAAAAIQBBzhuD4AAAAAsBAAAPAAAAAAAAAAAAAAAAAIAEAABkcnMv&#10;ZG93bnJldi54bWxQSwUGAAAAAAQABADzAAAAjQUAAAAA&#10;">
                <v:textbox>
                  <w:txbxContent>
                    <w:p w14:paraId="65061C93" w14:textId="77777777" w:rsidR="00791098" w:rsidRPr="00B04984" w:rsidRDefault="00791098" w:rsidP="00F16C76">
                      <w:pPr>
                        <w:spacing w:before="240"/>
                        <w:rPr>
                          <w:color w:val="7F7F7F" w:themeColor="text1" w:themeTint="80"/>
                          <w:sz w:val="28"/>
                          <w:szCs w:val="28"/>
                        </w:rPr>
                      </w:pPr>
                      <w:r w:rsidRPr="00B04984">
                        <w:rPr>
                          <w:color w:val="7F7F7F" w:themeColor="text1" w:themeTint="80"/>
                          <w:sz w:val="28"/>
                          <w:szCs w:val="28"/>
                        </w:rPr>
                        <w:t>DUTCH POSTCODE LOTTERY</w:t>
                      </w:r>
                    </w:p>
                    <w:p w14:paraId="36832751" w14:textId="3C360899" w:rsidR="00791098" w:rsidRPr="00C003F7" w:rsidRDefault="00791098" w:rsidP="00F16C76">
                      <w:pPr>
                        <w:spacing w:before="240"/>
                        <w:rPr>
                          <w:color w:val="7F7F7F" w:themeColor="text1" w:themeTint="80"/>
                          <w:sz w:val="20"/>
                          <w:szCs w:val="20"/>
                        </w:rPr>
                      </w:pPr>
                      <w:r w:rsidRPr="00C003F7">
                        <w:rPr>
                          <w:color w:val="7F7F7F" w:themeColor="text1" w:themeTint="80"/>
                          <w:sz w:val="20"/>
                          <w:szCs w:val="20"/>
                        </w:rPr>
                        <w:t xml:space="preserve">There are innovative lottery schemes in some of the countries in the world such as the Dutch Postcode Lottery - the largest charity lottery in the Netherlands. The lottery number is based on postcodes in the country so that the whole </w:t>
                      </w:r>
                      <w:proofErr w:type="spellStart"/>
                      <w:r w:rsidRPr="00C003F7">
                        <w:rPr>
                          <w:color w:val="7F7F7F" w:themeColor="text1" w:themeTint="80"/>
                          <w:sz w:val="20"/>
                          <w:szCs w:val="20"/>
                        </w:rPr>
                        <w:t>neighbourhood</w:t>
                      </w:r>
                      <w:proofErr w:type="spellEnd"/>
                      <w:r w:rsidRPr="00C003F7">
                        <w:rPr>
                          <w:color w:val="7F7F7F" w:themeColor="text1" w:themeTint="80"/>
                          <w:sz w:val="20"/>
                          <w:szCs w:val="20"/>
                        </w:rPr>
                        <w:t xml:space="preserve"> in a street of one postcode area also wins together at a weekly lottery draw. </w:t>
                      </w:r>
                    </w:p>
                    <w:p w14:paraId="60882830" w14:textId="77777777" w:rsidR="00791098" w:rsidRDefault="00791098" w:rsidP="00F16C76">
                      <w:pPr>
                        <w:spacing w:before="240"/>
                        <w:jc w:val="center"/>
                        <w:rPr>
                          <w:color w:val="7F7F7F" w:themeColor="text1" w:themeTint="80"/>
                        </w:rPr>
                      </w:pPr>
                      <w:r w:rsidRPr="00EA4807">
                        <w:rPr>
                          <w:noProof/>
                          <w:color w:val="7F7F7F" w:themeColor="text1" w:themeTint="80"/>
                          <w:lang w:val="en-AU" w:eastAsia="en-AU" w:bidi="si-LK"/>
                        </w:rPr>
                        <w:drawing>
                          <wp:inline distT="0" distB="0" distL="0" distR="0" wp14:anchorId="750AD4B9" wp14:editId="3B8FB2D8">
                            <wp:extent cx="1873250" cy="1162098"/>
                            <wp:effectExtent l="0" t="0" r="0" b="0"/>
                            <wp:docPr id="23" name="Picture 23" descr="E:\Folder HP 2019\BIOFIN\Finance Solutions\BFP\logos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lder HP 2019\BIOFIN\Finance Solutions\BFP\logos_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14" cy="1173924"/>
                                    </a:xfrm>
                                    <a:prstGeom prst="rect">
                                      <a:avLst/>
                                    </a:prstGeom>
                                    <a:noFill/>
                                    <a:ln>
                                      <a:noFill/>
                                    </a:ln>
                                  </pic:spPr>
                                </pic:pic>
                              </a:graphicData>
                            </a:graphic>
                          </wp:inline>
                        </w:drawing>
                      </w:r>
                    </w:p>
                    <w:p w14:paraId="627AAA81" w14:textId="01DA3CFF" w:rsidR="00791098" w:rsidRPr="00C003F7" w:rsidRDefault="00791098" w:rsidP="00F16C76">
                      <w:pPr>
                        <w:spacing w:before="240"/>
                        <w:rPr>
                          <w:color w:val="7F7F7F" w:themeColor="text1" w:themeTint="80"/>
                          <w:sz w:val="20"/>
                          <w:szCs w:val="20"/>
                        </w:rPr>
                      </w:pPr>
                      <w:r w:rsidRPr="00C003F7">
                        <w:rPr>
                          <w:color w:val="7F7F7F" w:themeColor="text1" w:themeTint="80"/>
                          <w:sz w:val="20"/>
                          <w:szCs w:val="20"/>
                        </w:rPr>
                        <w:t>In 2017, the lottery was purchased by 3 million players generating €715 million out of which €357 million was granted to 112 charities.</w:t>
                      </w:r>
                    </w:p>
                    <w:p w14:paraId="16EBF460" w14:textId="77777777" w:rsidR="00791098" w:rsidRDefault="00791098" w:rsidP="00155B2A">
                      <w:pPr>
                        <w:spacing w:before="240" w:after="0"/>
                        <w:rPr>
                          <w:color w:val="7F7F7F" w:themeColor="text1" w:themeTint="80"/>
                          <w:sz w:val="18"/>
                          <w:szCs w:val="18"/>
                        </w:rPr>
                      </w:pPr>
                      <w:r w:rsidRPr="005D1985">
                        <w:rPr>
                          <w:color w:val="7F7F7F" w:themeColor="text1" w:themeTint="80"/>
                          <w:sz w:val="18"/>
                          <w:szCs w:val="18"/>
                        </w:rPr>
                        <w:t xml:space="preserve">Source: </w:t>
                      </w:r>
                      <w:hyperlink r:id="rId13" w:history="1">
                        <w:r w:rsidRPr="00825991">
                          <w:rPr>
                            <w:rStyle w:val="Hyperlink"/>
                            <w:color w:val="66B0FB" w:themeColor="hyperlink" w:themeTint="80"/>
                            <w:sz w:val="18"/>
                            <w:szCs w:val="18"/>
                          </w:rPr>
                          <w:t>https://www.novamedia.nl/about-charity-lotteries/the-netherlands/dutch-postcode-lottery</w:t>
                        </w:r>
                      </w:hyperlink>
                      <w:r>
                        <w:rPr>
                          <w:color w:val="7F7F7F" w:themeColor="text1" w:themeTint="80"/>
                          <w:sz w:val="18"/>
                          <w:szCs w:val="18"/>
                        </w:rPr>
                        <w:t xml:space="preserve"> </w:t>
                      </w:r>
                    </w:p>
                    <w:p w14:paraId="1965EC3B" w14:textId="330FAA27" w:rsidR="00791098" w:rsidRPr="005D1985" w:rsidRDefault="00791098" w:rsidP="00155B2A">
                      <w:pPr>
                        <w:rPr>
                          <w:color w:val="7F7F7F" w:themeColor="text1" w:themeTint="80"/>
                          <w:sz w:val="18"/>
                          <w:szCs w:val="18"/>
                        </w:rPr>
                      </w:pPr>
                      <w:r>
                        <w:rPr>
                          <w:color w:val="7F7F7F" w:themeColor="text1" w:themeTint="80"/>
                          <w:sz w:val="18"/>
                          <w:szCs w:val="18"/>
                        </w:rPr>
                        <w:t>Retrieved on February 23, 2019</w:t>
                      </w:r>
                    </w:p>
                  </w:txbxContent>
                </v:textbox>
                <w10:wrap type="square" anchorx="margin"/>
              </v:shape>
            </w:pict>
          </mc:Fallback>
        </mc:AlternateContent>
      </w:r>
      <w:r w:rsidR="00E372CE" w:rsidRPr="00E372CE">
        <w:t>This is a finance solution which can be implemented with relatively a low cost of introduction generating high revenues</w:t>
      </w:r>
      <w:r w:rsidR="00E372CE">
        <w:t xml:space="preserve"> continuously</w:t>
      </w:r>
      <w:r w:rsidR="00E372CE" w:rsidRPr="00E372CE">
        <w:t>.</w:t>
      </w:r>
      <w:r w:rsidR="00E372CE">
        <w:t xml:space="preserve"> Thus, it is an attractive low-cost solution from the government’s point of view to supplement investment in biodiversity conservation. </w:t>
      </w:r>
      <w:r w:rsidR="0001001D" w:rsidRPr="0001001D">
        <w:t xml:space="preserve">In </w:t>
      </w:r>
      <w:proofErr w:type="gramStart"/>
      <w:r w:rsidR="0001001D" w:rsidRPr="0001001D">
        <w:t>fact</w:t>
      </w:r>
      <w:proofErr w:type="gramEnd"/>
      <w:r w:rsidR="0001001D" w:rsidRPr="0001001D">
        <w:t xml:space="preserve"> a lottery for biodiversity conservation </w:t>
      </w:r>
      <w:r w:rsidR="00E372CE">
        <w:t xml:space="preserve">is also expected to be </w:t>
      </w:r>
      <w:r w:rsidR="0001001D" w:rsidRPr="0001001D">
        <w:t>attractive to a more knowledgeable market segment as such due its two-sided benefits: the benefits to the individual players of the lottery with prizes and, the benefits to the nation with biodiversity conservation.</w:t>
      </w:r>
      <w:r w:rsidR="00E372CE">
        <w:t xml:space="preserve"> This market segment tends to keep away from purchasing conventional lotteries.</w:t>
      </w:r>
    </w:p>
    <w:p w14:paraId="0EE2DA5C" w14:textId="77777777" w:rsidR="008C01C2" w:rsidRDefault="008C01C2" w:rsidP="00BB5D98">
      <w:pPr>
        <w:jc w:val="both"/>
      </w:pPr>
      <w:r>
        <w:t>Responsibility</w:t>
      </w:r>
    </w:p>
    <w:p w14:paraId="2FDFACE0" w14:textId="77777777" w:rsidR="008C01C2" w:rsidRDefault="004D7FC3" w:rsidP="009B5FDD">
      <w:pPr>
        <w:jc w:val="both"/>
      </w:pPr>
      <w:r>
        <w:t xml:space="preserve">Given the specific purpose of the lottery, it needs to be placed under the purview of the NLB which manages such lotteries for various specific purposes. </w:t>
      </w:r>
      <w:r w:rsidR="008B26A9">
        <w:t xml:space="preserve">The lottery fund is to finance investment in biodiversity conservation so that the fund utilization would come under </w:t>
      </w:r>
      <w:r w:rsidR="009B5FDD">
        <w:t>the purview of the relevant government departments: Forest Department (FD), Department of Wildlife Conservation (DWC) and, Department of Coast Conservation and Coastal Resource Management (DCC). Private sector participation is necessary for marketing component of the lottery.</w:t>
      </w:r>
    </w:p>
    <w:p w14:paraId="7FF6EB0B" w14:textId="47B403AF" w:rsidR="00F16C76" w:rsidRDefault="00F16C76" w:rsidP="009B5FDD">
      <w:pPr>
        <w:jc w:val="both"/>
      </w:pPr>
      <w:r>
        <w:t xml:space="preserve">The best practices for fund management and their effective utilization for the biodiversity purpose need to be established. </w:t>
      </w:r>
      <w:r w:rsidR="00091894">
        <w:t xml:space="preserve">Further there should be a mechanism to mitigate potential social risks of lotteries such as high spending by economically vulnerable community members on lotteries and addiction of certain individuals to buy lotteries. </w:t>
      </w:r>
    </w:p>
    <w:p w14:paraId="32F7E2B8" w14:textId="5AD86450" w:rsidR="000B7821" w:rsidRDefault="00B4589D" w:rsidP="009B5FDD">
      <w:pPr>
        <w:jc w:val="both"/>
      </w:pPr>
      <w:r>
        <w:t>Financial result</w:t>
      </w:r>
    </w:p>
    <w:p w14:paraId="609BFA26" w14:textId="088E30A7" w:rsidR="00B4589D" w:rsidRDefault="00B4589D" w:rsidP="00B4589D">
      <w:pPr>
        <w:jc w:val="both"/>
      </w:pPr>
      <w:r>
        <w:t>The proposed finance solution is expected to mobilize new finances for the purpose of conserving terrestrial and marine biodiversity and ecosystems. An on-line lottery priced at LKR 100 (or multiples of that) and purchased by a modest number of 100 thousand players a week is estimated to generate revenue of LKR 10 million; this would amount to over LKR 500 million a year, equivalent to over US$ 3 million a year. One financial advantage of the finance solution is the relatively small costs of designing and implementing the lottery scheme.</w:t>
      </w:r>
    </w:p>
    <w:p w14:paraId="45725035" w14:textId="77777777" w:rsidR="00EE4EFB" w:rsidRDefault="00EE4EFB" w:rsidP="00B4589D">
      <w:pPr>
        <w:jc w:val="both"/>
      </w:pPr>
    </w:p>
    <w:p w14:paraId="2A9EDEC3" w14:textId="77777777" w:rsidR="00EE4EFB" w:rsidRDefault="00EE4EFB" w:rsidP="00B4589D">
      <w:pPr>
        <w:jc w:val="both"/>
      </w:pPr>
    </w:p>
    <w:p w14:paraId="1CB4E09F" w14:textId="77777777" w:rsidR="00FF7C8E" w:rsidRDefault="00C905CD" w:rsidP="00BB5D98">
      <w:pPr>
        <w:jc w:val="both"/>
      </w:pPr>
      <w:r>
        <w:t>Action plan</w:t>
      </w:r>
    </w:p>
    <w:tbl>
      <w:tblPr>
        <w:tblStyle w:val="TableGrid"/>
        <w:tblW w:w="0" w:type="auto"/>
        <w:tblLook w:val="04A0" w:firstRow="1" w:lastRow="0" w:firstColumn="1" w:lastColumn="0" w:noHBand="0" w:noVBand="1"/>
      </w:tblPr>
      <w:tblGrid>
        <w:gridCol w:w="2040"/>
        <w:gridCol w:w="2024"/>
        <w:gridCol w:w="1495"/>
        <w:gridCol w:w="494"/>
        <w:gridCol w:w="494"/>
        <w:gridCol w:w="494"/>
        <w:gridCol w:w="494"/>
        <w:gridCol w:w="494"/>
        <w:gridCol w:w="494"/>
        <w:gridCol w:w="494"/>
      </w:tblGrid>
      <w:tr w:rsidR="00C905CD" w14:paraId="5B739688" w14:textId="77777777" w:rsidTr="00C95AD0">
        <w:tc>
          <w:tcPr>
            <w:tcW w:w="2040" w:type="dxa"/>
            <w:vMerge w:val="restart"/>
            <w:vAlign w:val="center"/>
          </w:tcPr>
          <w:p w14:paraId="6219EB82" w14:textId="77777777" w:rsidR="00C905CD" w:rsidRPr="00C27851" w:rsidRDefault="00C905CD" w:rsidP="00C95AD0">
            <w:pPr>
              <w:jc w:val="center"/>
            </w:pPr>
            <w:r w:rsidRPr="00C27851">
              <w:t>Output</w:t>
            </w:r>
          </w:p>
        </w:tc>
        <w:tc>
          <w:tcPr>
            <w:tcW w:w="2024" w:type="dxa"/>
            <w:vMerge w:val="restart"/>
            <w:vAlign w:val="center"/>
          </w:tcPr>
          <w:p w14:paraId="176CB977" w14:textId="77777777" w:rsidR="00C905CD" w:rsidRPr="00C27851" w:rsidRDefault="00C905CD" w:rsidP="00C95AD0">
            <w:pPr>
              <w:jc w:val="center"/>
            </w:pPr>
            <w:r w:rsidRPr="00C27851">
              <w:t>Main activities</w:t>
            </w:r>
          </w:p>
        </w:tc>
        <w:tc>
          <w:tcPr>
            <w:tcW w:w="1495" w:type="dxa"/>
            <w:vMerge w:val="restart"/>
            <w:vAlign w:val="center"/>
          </w:tcPr>
          <w:p w14:paraId="4113B889" w14:textId="77777777" w:rsidR="00C905CD" w:rsidRPr="00C27851" w:rsidRDefault="00C905CD" w:rsidP="00C95AD0">
            <w:pPr>
              <w:jc w:val="center"/>
            </w:pPr>
            <w:r w:rsidRPr="00C27851">
              <w:t>Responsibility</w:t>
            </w:r>
          </w:p>
        </w:tc>
        <w:tc>
          <w:tcPr>
            <w:tcW w:w="3458" w:type="dxa"/>
            <w:gridSpan w:val="7"/>
            <w:vAlign w:val="center"/>
          </w:tcPr>
          <w:p w14:paraId="2C9B435A" w14:textId="77777777" w:rsidR="00C905CD" w:rsidRPr="00C27851" w:rsidRDefault="00C905CD" w:rsidP="00C95AD0">
            <w:pPr>
              <w:jc w:val="center"/>
            </w:pPr>
            <w:r w:rsidRPr="00C27851">
              <w:t>Year</w:t>
            </w:r>
          </w:p>
        </w:tc>
      </w:tr>
      <w:tr w:rsidR="00C905CD" w14:paraId="6AA6776C" w14:textId="77777777" w:rsidTr="00C95AD0">
        <w:tc>
          <w:tcPr>
            <w:tcW w:w="2040" w:type="dxa"/>
            <w:vMerge/>
            <w:vAlign w:val="center"/>
          </w:tcPr>
          <w:p w14:paraId="7C62BA24" w14:textId="77777777" w:rsidR="00C905CD" w:rsidRDefault="00C905CD" w:rsidP="00C95AD0">
            <w:pPr>
              <w:jc w:val="center"/>
            </w:pPr>
          </w:p>
        </w:tc>
        <w:tc>
          <w:tcPr>
            <w:tcW w:w="2024" w:type="dxa"/>
            <w:vMerge/>
            <w:vAlign w:val="center"/>
          </w:tcPr>
          <w:p w14:paraId="728BF601" w14:textId="77777777" w:rsidR="00C905CD" w:rsidRDefault="00C905CD" w:rsidP="00C95AD0">
            <w:pPr>
              <w:jc w:val="center"/>
            </w:pPr>
          </w:p>
        </w:tc>
        <w:tc>
          <w:tcPr>
            <w:tcW w:w="1495" w:type="dxa"/>
            <w:vMerge/>
            <w:vAlign w:val="center"/>
          </w:tcPr>
          <w:p w14:paraId="7E69792C" w14:textId="77777777" w:rsidR="00C905CD" w:rsidRDefault="00C905CD" w:rsidP="00C95AD0">
            <w:pPr>
              <w:jc w:val="center"/>
            </w:pPr>
          </w:p>
        </w:tc>
        <w:tc>
          <w:tcPr>
            <w:tcW w:w="494" w:type="dxa"/>
            <w:vAlign w:val="center"/>
          </w:tcPr>
          <w:p w14:paraId="2F5A9415" w14:textId="77777777" w:rsidR="00C905CD" w:rsidRDefault="00C905CD" w:rsidP="00C95AD0">
            <w:pPr>
              <w:jc w:val="center"/>
            </w:pPr>
            <w:r w:rsidRPr="00C27851">
              <w:t>‘18</w:t>
            </w:r>
          </w:p>
        </w:tc>
        <w:tc>
          <w:tcPr>
            <w:tcW w:w="494" w:type="dxa"/>
            <w:vAlign w:val="center"/>
          </w:tcPr>
          <w:p w14:paraId="40EFB049" w14:textId="77777777" w:rsidR="00C905CD" w:rsidRDefault="00C905CD" w:rsidP="00C95AD0">
            <w:pPr>
              <w:jc w:val="center"/>
            </w:pPr>
            <w:r w:rsidRPr="00C27851">
              <w:t>‘19</w:t>
            </w:r>
          </w:p>
        </w:tc>
        <w:tc>
          <w:tcPr>
            <w:tcW w:w="494" w:type="dxa"/>
            <w:vAlign w:val="center"/>
          </w:tcPr>
          <w:p w14:paraId="464AC55F" w14:textId="77777777" w:rsidR="00C905CD" w:rsidRDefault="00C905CD" w:rsidP="00C95AD0">
            <w:pPr>
              <w:jc w:val="center"/>
            </w:pPr>
            <w:r w:rsidRPr="00C27851">
              <w:t>‘20</w:t>
            </w:r>
          </w:p>
        </w:tc>
        <w:tc>
          <w:tcPr>
            <w:tcW w:w="494" w:type="dxa"/>
            <w:vAlign w:val="center"/>
          </w:tcPr>
          <w:p w14:paraId="3D82BA15" w14:textId="77777777" w:rsidR="00C905CD" w:rsidRDefault="00C905CD" w:rsidP="00C95AD0">
            <w:pPr>
              <w:jc w:val="center"/>
            </w:pPr>
            <w:r w:rsidRPr="00C27851">
              <w:t>‘21</w:t>
            </w:r>
          </w:p>
        </w:tc>
        <w:tc>
          <w:tcPr>
            <w:tcW w:w="494" w:type="dxa"/>
            <w:vAlign w:val="center"/>
          </w:tcPr>
          <w:p w14:paraId="5B299909" w14:textId="77777777" w:rsidR="00C905CD" w:rsidRDefault="00C905CD" w:rsidP="00C95AD0">
            <w:pPr>
              <w:jc w:val="center"/>
            </w:pPr>
            <w:r w:rsidRPr="00C27851">
              <w:t>‘22</w:t>
            </w:r>
          </w:p>
        </w:tc>
        <w:tc>
          <w:tcPr>
            <w:tcW w:w="494" w:type="dxa"/>
            <w:vAlign w:val="center"/>
          </w:tcPr>
          <w:p w14:paraId="65E0CD34" w14:textId="77777777" w:rsidR="00C905CD" w:rsidRDefault="00C905CD" w:rsidP="00C95AD0">
            <w:pPr>
              <w:jc w:val="center"/>
            </w:pPr>
            <w:r w:rsidRPr="00C27851">
              <w:t>‘23</w:t>
            </w:r>
          </w:p>
        </w:tc>
        <w:tc>
          <w:tcPr>
            <w:tcW w:w="494" w:type="dxa"/>
            <w:vAlign w:val="center"/>
          </w:tcPr>
          <w:p w14:paraId="7C2D230C" w14:textId="77777777" w:rsidR="00C905CD" w:rsidRDefault="00C905CD" w:rsidP="00C95AD0">
            <w:pPr>
              <w:jc w:val="center"/>
            </w:pPr>
            <w:r w:rsidRPr="00C27851">
              <w:t>‘24</w:t>
            </w:r>
          </w:p>
        </w:tc>
      </w:tr>
      <w:tr w:rsidR="00C905CD" w14:paraId="7FAD3FDC" w14:textId="77777777" w:rsidTr="00DE77DE">
        <w:tc>
          <w:tcPr>
            <w:tcW w:w="2040" w:type="dxa"/>
            <w:vMerge w:val="restart"/>
            <w:vAlign w:val="center"/>
          </w:tcPr>
          <w:p w14:paraId="54C2781C" w14:textId="77777777" w:rsidR="00C905CD" w:rsidRDefault="00C905CD" w:rsidP="00C95AD0">
            <w:r>
              <w:t>Identification of the lottery-type and the market</w:t>
            </w:r>
          </w:p>
        </w:tc>
        <w:tc>
          <w:tcPr>
            <w:tcW w:w="2024" w:type="dxa"/>
            <w:vAlign w:val="center"/>
          </w:tcPr>
          <w:p w14:paraId="43869D44" w14:textId="77777777" w:rsidR="00C905CD" w:rsidRDefault="00C905CD" w:rsidP="00C95AD0">
            <w:r>
              <w:t>Conducting a study</w:t>
            </w:r>
            <w:r w:rsidR="0003307E">
              <w:t xml:space="preserve"> on the existing mechanisms</w:t>
            </w:r>
          </w:p>
        </w:tc>
        <w:tc>
          <w:tcPr>
            <w:tcW w:w="1495" w:type="dxa"/>
            <w:vAlign w:val="center"/>
          </w:tcPr>
          <w:p w14:paraId="1E4C2467" w14:textId="77777777" w:rsidR="00C905CD" w:rsidRDefault="0003307E" w:rsidP="00C95AD0">
            <w:r>
              <w:t>UNDP &amp;</w:t>
            </w:r>
          </w:p>
          <w:p w14:paraId="6A1D5011" w14:textId="77777777" w:rsidR="0003307E" w:rsidRDefault="0003307E" w:rsidP="00C95AD0">
            <w:r>
              <w:t>Finance Ministry</w:t>
            </w:r>
          </w:p>
        </w:tc>
        <w:tc>
          <w:tcPr>
            <w:tcW w:w="494" w:type="dxa"/>
            <w:shd w:val="clear" w:color="auto" w:fill="auto"/>
            <w:vAlign w:val="center"/>
          </w:tcPr>
          <w:p w14:paraId="0195956A" w14:textId="77777777" w:rsidR="00C905CD" w:rsidRDefault="00C905CD" w:rsidP="00C95AD0">
            <w:pPr>
              <w:jc w:val="center"/>
            </w:pPr>
          </w:p>
        </w:tc>
        <w:tc>
          <w:tcPr>
            <w:tcW w:w="494" w:type="dxa"/>
            <w:shd w:val="clear" w:color="auto" w:fill="BFBFBF" w:themeFill="background1" w:themeFillShade="BF"/>
            <w:vAlign w:val="center"/>
          </w:tcPr>
          <w:p w14:paraId="6291B2F0" w14:textId="77777777" w:rsidR="00C905CD" w:rsidRDefault="00C905CD" w:rsidP="00C95AD0">
            <w:pPr>
              <w:jc w:val="center"/>
            </w:pPr>
          </w:p>
        </w:tc>
        <w:tc>
          <w:tcPr>
            <w:tcW w:w="494" w:type="dxa"/>
            <w:shd w:val="clear" w:color="auto" w:fill="auto"/>
            <w:vAlign w:val="center"/>
          </w:tcPr>
          <w:p w14:paraId="0A8A7A35" w14:textId="77777777" w:rsidR="00C905CD" w:rsidRDefault="00C905CD" w:rsidP="00C95AD0">
            <w:pPr>
              <w:jc w:val="center"/>
            </w:pPr>
          </w:p>
        </w:tc>
        <w:tc>
          <w:tcPr>
            <w:tcW w:w="494" w:type="dxa"/>
            <w:shd w:val="clear" w:color="auto" w:fill="auto"/>
            <w:vAlign w:val="center"/>
          </w:tcPr>
          <w:p w14:paraId="7D7EFA19" w14:textId="77777777" w:rsidR="00C905CD" w:rsidRDefault="00C905CD" w:rsidP="00C95AD0">
            <w:pPr>
              <w:jc w:val="center"/>
            </w:pPr>
          </w:p>
        </w:tc>
        <w:tc>
          <w:tcPr>
            <w:tcW w:w="494" w:type="dxa"/>
            <w:shd w:val="clear" w:color="auto" w:fill="auto"/>
            <w:vAlign w:val="center"/>
          </w:tcPr>
          <w:p w14:paraId="0B4D8FCA" w14:textId="77777777" w:rsidR="00C905CD" w:rsidRDefault="00C905CD" w:rsidP="00C95AD0">
            <w:pPr>
              <w:jc w:val="center"/>
            </w:pPr>
          </w:p>
        </w:tc>
        <w:tc>
          <w:tcPr>
            <w:tcW w:w="494" w:type="dxa"/>
            <w:vAlign w:val="center"/>
          </w:tcPr>
          <w:p w14:paraId="3991F1DB" w14:textId="77777777" w:rsidR="00C905CD" w:rsidRDefault="00C905CD" w:rsidP="00C95AD0">
            <w:pPr>
              <w:jc w:val="center"/>
            </w:pPr>
          </w:p>
        </w:tc>
        <w:tc>
          <w:tcPr>
            <w:tcW w:w="494" w:type="dxa"/>
            <w:vAlign w:val="center"/>
          </w:tcPr>
          <w:p w14:paraId="2EF81E40" w14:textId="77777777" w:rsidR="00C905CD" w:rsidRDefault="00C905CD" w:rsidP="00C95AD0">
            <w:pPr>
              <w:jc w:val="center"/>
            </w:pPr>
          </w:p>
        </w:tc>
      </w:tr>
      <w:tr w:rsidR="00C905CD" w14:paraId="6E421ADC" w14:textId="77777777" w:rsidTr="00DE77DE">
        <w:tc>
          <w:tcPr>
            <w:tcW w:w="2040" w:type="dxa"/>
            <w:vMerge/>
            <w:vAlign w:val="center"/>
          </w:tcPr>
          <w:p w14:paraId="3477C71F" w14:textId="77777777" w:rsidR="00C905CD" w:rsidRDefault="00C905CD" w:rsidP="00C95AD0"/>
        </w:tc>
        <w:tc>
          <w:tcPr>
            <w:tcW w:w="2024" w:type="dxa"/>
            <w:vAlign w:val="center"/>
          </w:tcPr>
          <w:p w14:paraId="721EAED3" w14:textId="2BD4B5C2" w:rsidR="00C905CD" w:rsidRDefault="00C905CD" w:rsidP="00C905CD">
            <w:r>
              <w:t>Identifying the market, the lottery scheme, operating mechanism</w:t>
            </w:r>
            <w:r w:rsidR="00EE4EFB">
              <w:t xml:space="preserve"> including fund utilization mechanism</w:t>
            </w:r>
          </w:p>
        </w:tc>
        <w:tc>
          <w:tcPr>
            <w:tcW w:w="1495" w:type="dxa"/>
            <w:vAlign w:val="center"/>
          </w:tcPr>
          <w:p w14:paraId="1E25C832" w14:textId="77777777" w:rsidR="0003307E" w:rsidRDefault="0003307E" w:rsidP="0003307E">
            <w:r>
              <w:t>UNDP &amp;</w:t>
            </w:r>
          </w:p>
          <w:p w14:paraId="2A7DDD3D" w14:textId="77777777" w:rsidR="0003307E" w:rsidRDefault="0003307E" w:rsidP="0003307E">
            <w:r>
              <w:t>Finance Ministry</w:t>
            </w:r>
          </w:p>
        </w:tc>
        <w:tc>
          <w:tcPr>
            <w:tcW w:w="494" w:type="dxa"/>
            <w:shd w:val="clear" w:color="auto" w:fill="auto"/>
            <w:vAlign w:val="center"/>
          </w:tcPr>
          <w:p w14:paraId="399D340B" w14:textId="77777777" w:rsidR="00C905CD" w:rsidRDefault="00C905CD" w:rsidP="00C95AD0">
            <w:pPr>
              <w:jc w:val="center"/>
            </w:pPr>
          </w:p>
        </w:tc>
        <w:tc>
          <w:tcPr>
            <w:tcW w:w="494" w:type="dxa"/>
            <w:shd w:val="clear" w:color="auto" w:fill="BFBFBF" w:themeFill="background1" w:themeFillShade="BF"/>
            <w:vAlign w:val="center"/>
          </w:tcPr>
          <w:p w14:paraId="5EE25D64" w14:textId="77777777" w:rsidR="00C905CD" w:rsidRDefault="00C905CD" w:rsidP="00C95AD0">
            <w:pPr>
              <w:jc w:val="center"/>
            </w:pPr>
          </w:p>
        </w:tc>
        <w:tc>
          <w:tcPr>
            <w:tcW w:w="494" w:type="dxa"/>
            <w:shd w:val="clear" w:color="auto" w:fill="auto"/>
            <w:vAlign w:val="center"/>
          </w:tcPr>
          <w:p w14:paraId="2D25A58A" w14:textId="77777777" w:rsidR="00C905CD" w:rsidRDefault="00C905CD" w:rsidP="00C95AD0">
            <w:pPr>
              <w:jc w:val="center"/>
            </w:pPr>
          </w:p>
        </w:tc>
        <w:tc>
          <w:tcPr>
            <w:tcW w:w="494" w:type="dxa"/>
            <w:shd w:val="clear" w:color="auto" w:fill="auto"/>
            <w:vAlign w:val="center"/>
          </w:tcPr>
          <w:p w14:paraId="184C5B4E" w14:textId="77777777" w:rsidR="00C905CD" w:rsidRDefault="00C905CD" w:rsidP="00C95AD0">
            <w:pPr>
              <w:jc w:val="center"/>
            </w:pPr>
          </w:p>
        </w:tc>
        <w:tc>
          <w:tcPr>
            <w:tcW w:w="494" w:type="dxa"/>
            <w:shd w:val="clear" w:color="auto" w:fill="auto"/>
            <w:vAlign w:val="center"/>
          </w:tcPr>
          <w:p w14:paraId="44576D58" w14:textId="77777777" w:rsidR="00C905CD" w:rsidRDefault="00C905CD" w:rsidP="00C95AD0">
            <w:pPr>
              <w:jc w:val="center"/>
            </w:pPr>
          </w:p>
        </w:tc>
        <w:tc>
          <w:tcPr>
            <w:tcW w:w="494" w:type="dxa"/>
            <w:vAlign w:val="center"/>
          </w:tcPr>
          <w:p w14:paraId="690A90AC" w14:textId="77777777" w:rsidR="00C905CD" w:rsidRDefault="00C905CD" w:rsidP="00C95AD0">
            <w:pPr>
              <w:jc w:val="center"/>
            </w:pPr>
          </w:p>
        </w:tc>
        <w:tc>
          <w:tcPr>
            <w:tcW w:w="494" w:type="dxa"/>
            <w:vAlign w:val="center"/>
          </w:tcPr>
          <w:p w14:paraId="555D102B" w14:textId="77777777" w:rsidR="00C905CD" w:rsidRDefault="00C905CD" w:rsidP="00C95AD0">
            <w:pPr>
              <w:jc w:val="center"/>
            </w:pPr>
          </w:p>
        </w:tc>
      </w:tr>
      <w:tr w:rsidR="00C905CD" w14:paraId="4A8F219E" w14:textId="77777777" w:rsidTr="00DE77DE">
        <w:tc>
          <w:tcPr>
            <w:tcW w:w="2040" w:type="dxa"/>
            <w:vMerge/>
            <w:vAlign w:val="center"/>
          </w:tcPr>
          <w:p w14:paraId="790D5092" w14:textId="77777777" w:rsidR="00C905CD" w:rsidRDefault="00C905CD" w:rsidP="00C95AD0"/>
        </w:tc>
        <w:tc>
          <w:tcPr>
            <w:tcW w:w="2024" w:type="dxa"/>
            <w:vAlign w:val="center"/>
          </w:tcPr>
          <w:p w14:paraId="0ED8EB8D" w14:textId="77777777" w:rsidR="00C905CD" w:rsidRDefault="00C905CD" w:rsidP="00C905CD">
            <w:r>
              <w:t>Negotiations and validation</w:t>
            </w:r>
          </w:p>
        </w:tc>
        <w:tc>
          <w:tcPr>
            <w:tcW w:w="1495" w:type="dxa"/>
            <w:vAlign w:val="center"/>
          </w:tcPr>
          <w:p w14:paraId="32D1331A" w14:textId="77777777" w:rsidR="00C905CD" w:rsidRDefault="0003307E" w:rsidP="0003307E">
            <w:r>
              <w:t>Finance Ministry</w:t>
            </w:r>
          </w:p>
        </w:tc>
        <w:tc>
          <w:tcPr>
            <w:tcW w:w="494" w:type="dxa"/>
            <w:shd w:val="clear" w:color="auto" w:fill="auto"/>
            <w:vAlign w:val="center"/>
          </w:tcPr>
          <w:p w14:paraId="1EA22CBC" w14:textId="77777777" w:rsidR="00C905CD" w:rsidRDefault="00C905CD" w:rsidP="00C95AD0">
            <w:pPr>
              <w:jc w:val="center"/>
            </w:pPr>
          </w:p>
        </w:tc>
        <w:tc>
          <w:tcPr>
            <w:tcW w:w="494" w:type="dxa"/>
            <w:shd w:val="clear" w:color="auto" w:fill="BFBFBF" w:themeFill="background1" w:themeFillShade="BF"/>
            <w:vAlign w:val="center"/>
          </w:tcPr>
          <w:p w14:paraId="4E9AFC4A" w14:textId="77777777" w:rsidR="00C905CD" w:rsidRDefault="00C905CD" w:rsidP="00C95AD0">
            <w:pPr>
              <w:jc w:val="center"/>
            </w:pPr>
          </w:p>
        </w:tc>
        <w:tc>
          <w:tcPr>
            <w:tcW w:w="494" w:type="dxa"/>
            <w:shd w:val="clear" w:color="auto" w:fill="auto"/>
            <w:vAlign w:val="center"/>
          </w:tcPr>
          <w:p w14:paraId="2ACD947A" w14:textId="77777777" w:rsidR="00C905CD" w:rsidRDefault="00C905CD" w:rsidP="00C95AD0">
            <w:pPr>
              <w:jc w:val="center"/>
            </w:pPr>
          </w:p>
        </w:tc>
        <w:tc>
          <w:tcPr>
            <w:tcW w:w="494" w:type="dxa"/>
            <w:shd w:val="clear" w:color="auto" w:fill="auto"/>
            <w:vAlign w:val="center"/>
          </w:tcPr>
          <w:p w14:paraId="2BC5CDE2" w14:textId="77777777" w:rsidR="00C905CD" w:rsidRDefault="00C905CD" w:rsidP="00C95AD0">
            <w:pPr>
              <w:jc w:val="center"/>
            </w:pPr>
          </w:p>
        </w:tc>
        <w:tc>
          <w:tcPr>
            <w:tcW w:w="494" w:type="dxa"/>
            <w:shd w:val="clear" w:color="auto" w:fill="auto"/>
            <w:vAlign w:val="center"/>
          </w:tcPr>
          <w:p w14:paraId="5E782E77" w14:textId="77777777" w:rsidR="00C905CD" w:rsidRDefault="00C905CD" w:rsidP="00C95AD0">
            <w:pPr>
              <w:jc w:val="center"/>
            </w:pPr>
          </w:p>
        </w:tc>
        <w:tc>
          <w:tcPr>
            <w:tcW w:w="494" w:type="dxa"/>
            <w:vAlign w:val="center"/>
          </w:tcPr>
          <w:p w14:paraId="439B837E" w14:textId="77777777" w:rsidR="00C905CD" w:rsidRDefault="00C905CD" w:rsidP="00C95AD0">
            <w:pPr>
              <w:jc w:val="center"/>
            </w:pPr>
          </w:p>
        </w:tc>
        <w:tc>
          <w:tcPr>
            <w:tcW w:w="494" w:type="dxa"/>
            <w:vAlign w:val="center"/>
          </w:tcPr>
          <w:p w14:paraId="401040B4" w14:textId="77777777" w:rsidR="00C905CD" w:rsidRDefault="00C905CD" w:rsidP="00C95AD0">
            <w:pPr>
              <w:jc w:val="center"/>
            </w:pPr>
          </w:p>
        </w:tc>
      </w:tr>
      <w:tr w:rsidR="00C905CD" w14:paraId="14AFBA8D" w14:textId="77777777" w:rsidTr="00DE77DE">
        <w:tc>
          <w:tcPr>
            <w:tcW w:w="2040" w:type="dxa"/>
            <w:vMerge/>
            <w:vAlign w:val="center"/>
          </w:tcPr>
          <w:p w14:paraId="70097746" w14:textId="77777777" w:rsidR="00C905CD" w:rsidRDefault="00C905CD" w:rsidP="00C95AD0"/>
        </w:tc>
        <w:tc>
          <w:tcPr>
            <w:tcW w:w="2024" w:type="dxa"/>
            <w:vAlign w:val="center"/>
          </w:tcPr>
          <w:p w14:paraId="3631A035" w14:textId="77777777" w:rsidR="00C905CD" w:rsidRDefault="00C905CD" w:rsidP="00C95AD0">
            <w:r>
              <w:t>Approval and, regulatory, and institutional mechanisms</w:t>
            </w:r>
          </w:p>
        </w:tc>
        <w:tc>
          <w:tcPr>
            <w:tcW w:w="1495" w:type="dxa"/>
            <w:vAlign w:val="center"/>
          </w:tcPr>
          <w:p w14:paraId="28DBDAC3" w14:textId="77777777" w:rsidR="00C905CD" w:rsidRDefault="0003307E" w:rsidP="0003307E">
            <w:r>
              <w:t>Finance Ministry</w:t>
            </w:r>
          </w:p>
        </w:tc>
        <w:tc>
          <w:tcPr>
            <w:tcW w:w="494" w:type="dxa"/>
            <w:shd w:val="clear" w:color="auto" w:fill="auto"/>
            <w:vAlign w:val="center"/>
          </w:tcPr>
          <w:p w14:paraId="15642596" w14:textId="77777777" w:rsidR="00C905CD" w:rsidRDefault="00C905CD" w:rsidP="00C95AD0">
            <w:pPr>
              <w:jc w:val="center"/>
            </w:pPr>
          </w:p>
        </w:tc>
        <w:tc>
          <w:tcPr>
            <w:tcW w:w="494" w:type="dxa"/>
            <w:shd w:val="clear" w:color="auto" w:fill="auto"/>
            <w:vAlign w:val="center"/>
          </w:tcPr>
          <w:p w14:paraId="3E02AE8E" w14:textId="77777777" w:rsidR="00C905CD" w:rsidRDefault="00C905CD" w:rsidP="00C95AD0">
            <w:pPr>
              <w:jc w:val="center"/>
            </w:pPr>
          </w:p>
        </w:tc>
        <w:tc>
          <w:tcPr>
            <w:tcW w:w="494" w:type="dxa"/>
            <w:shd w:val="clear" w:color="auto" w:fill="BFBFBF" w:themeFill="background1" w:themeFillShade="BF"/>
            <w:vAlign w:val="center"/>
          </w:tcPr>
          <w:p w14:paraId="07EF46DF" w14:textId="77777777" w:rsidR="00C905CD" w:rsidRDefault="00C905CD" w:rsidP="00C95AD0">
            <w:pPr>
              <w:jc w:val="center"/>
            </w:pPr>
          </w:p>
        </w:tc>
        <w:tc>
          <w:tcPr>
            <w:tcW w:w="494" w:type="dxa"/>
            <w:shd w:val="clear" w:color="auto" w:fill="auto"/>
            <w:vAlign w:val="center"/>
          </w:tcPr>
          <w:p w14:paraId="017E7EDB" w14:textId="77777777" w:rsidR="00C905CD" w:rsidRDefault="00C905CD" w:rsidP="00C95AD0">
            <w:pPr>
              <w:jc w:val="center"/>
            </w:pPr>
          </w:p>
        </w:tc>
        <w:tc>
          <w:tcPr>
            <w:tcW w:w="494" w:type="dxa"/>
            <w:shd w:val="clear" w:color="auto" w:fill="auto"/>
            <w:vAlign w:val="center"/>
          </w:tcPr>
          <w:p w14:paraId="6CD5409E" w14:textId="77777777" w:rsidR="00C905CD" w:rsidRDefault="00C905CD" w:rsidP="00C95AD0">
            <w:pPr>
              <w:jc w:val="center"/>
            </w:pPr>
          </w:p>
        </w:tc>
        <w:tc>
          <w:tcPr>
            <w:tcW w:w="494" w:type="dxa"/>
            <w:vAlign w:val="center"/>
          </w:tcPr>
          <w:p w14:paraId="4C1CDBEB" w14:textId="77777777" w:rsidR="00C905CD" w:rsidRDefault="00C905CD" w:rsidP="00C95AD0">
            <w:pPr>
              <w:jc w:val="center"/>
            </w:pPr>
          </w:p>
        </w:tc>
        <w:tc>
          <w:tcPr>
            <w:tcW w:w="494" w:type="dxa"/>
            <w:vAlign w:val="center"/>
          </w:tcPr>
          <w:p w14:paraId="0A2DA8C1" w14:textId="77777777" w:rsidR="00C905CD" w:rsidRDefault="00C905CD" w:rsidP="00C95AD0">
            <w:pPr>
              <w:jc w:val="center"/>
            </w:pPr>
          </w:p>
        </w:tc>
      </w:tr>
      <w:tr w:rsidR="00C905CD" w14:paraId="0717BEA6" w14:textId="77777777" w:rsidTr="00DE77DE">
        <w:tc>
          <w:tcPr>
            <w:tcW w:w="2040" w:type="dxa"/>
            <w:vMerge w:val="restart"/>
            <w:vAlign w:val="center"/>
          </w:tcPr>
          <w:p w14:paraId="34945CCF" w14:textId="77777777" w:rsidR="00C905CD" w:rsidRDefault="00C905CD" w:rsidP="00C95AD0">
            <w:r>
              <w:t>Implementing the lottery scheme</w:t>
            </w:r>
          </w:p>
        </w:tc>
        <w:tc>
          <w:tcPr>
            <w:tcW w:w="2024" w:type="dxa"/>
            <w:vAlign w:val="center"/>
          </w:tcPr>
          <w:p w14:paraId="3AB943C5" w14:textId="77777777" w:rsidR="00C905CD" w:rsidRDefault="00C905CD" w:rsidP="00C95AD0">
            <w:r>
              <w:t>Launching the lottery</w:t>
            </w:r>
          </w:p>
        </w:tc>
        <w:tc>
          <w:tcPr>
            <w:tcW w:w="1495" w:type="dxa"/>
            <w:vAlign w:val="center"/>
          </w:tcPr>
          <w:p w14:paraId="7069BCD9" w14:textId="77777777" w:rsidR="00C905CD" w:rsidRDefault="0003307E" w:rsidP="00C95AD0">
            <w:r>
              <w:t>NLB</w:t>
            </w:r>
          </w:p>
        </w:tc>
        <w:tc>
          <w:tcPr>
            <w:tcW w:w="494" w:type="dxa"/>
            <w:shd w:val="clear" w:color="auto" w:fill="auto"/>
            <w:vAlign w:val="center"/>
          </w:tcPr>
          <w:p w14:paraId="237EBA55" w14:textId="77777777" w:rsidR="00C905CD" w:rsidRDefault="00C905CD" w:rsidP="00C95AD0">
            <w:pPr>
              <w:jc w:val="center"/>
            </w:pPr>
          </w:p>
        </w:tc>
        <w:tc>
          <w:tcPr>
            <w:tcW w:w="494" w:type="dxa"/>
            <w:shd w:val="clear" w:color="auto" w:fill="auto"/>
            <w:vAlign w:val="center"/>
          </w:tcPr>
          <w:p w14:paraId="4FBF1F20" w14:textId="77777777" w:rsidR="00C905CD" w:rsidRDefault="00C905CD" w:rsidP="00C95AD0">
            <w:pPr>
              <w:jc w:val="center"/>
            </w:pPr>
          </w:p>
        </w:tc>
        <w:tc>
          <w:tcPr>
            <w:tcW w:w="494" w:type="dxa"/>
            <w:shd w:val="clear" w:color="auto" w:fill="BFBFBF" w:themeFill="background1" w:themeFillShade="BF"/>
            <w:vAlign w:val="center"/>
          </w:tcPr>
          <w:p w14:paraId="7219FD11" w14:textId="77777777" w:rsidR="00C905CD" w:rsidRDefault="00C905CD" w:rsidP="00C95AD0">
            <w:pPr>
              <w:jc w:val="center"/>
            </w:pPr>
          </w:p>
        </w:tc>
        <w:tc>
          <w:tcPr>
            <w:tcW w:w="494" w:type="dxa"/>
            <w:shd w:val="clear" w:color="auto" w:fill="auto"/>
            <w:vAlign w:val="center"/>
          </w:tcPr>
          <w:p w14:paraId="6A0E6B56" w14:textId="77777777" w:rsidR="00C905CD" w:rsidRDefault="00C905CD" w:rsidP="00C95AD0">
            <w:pPr>
              <w:jc w:val="center"/>
            </w:pPr>
          </w:p>
        </w:tc>
        <w:tc>
          <w:tcPr>
            <w:tcW w:w="494" w:type="dxa"/>
            <w:shd w:val="clear" w:color="auto" w:fill="auto"/>
            <w:vAlign w:val="center"/>
          </w:tcPr>
          <w:p w14:paraId="4638AD51" w14:textId="77777777" w:rsidR="00C905CD" w:rsidRDefault="00C905CD" w:rsidP="00C95AD0">
            <w:pPr>
              <w:jc w:val="center"/>
            </w:pPr>
          </w:p>
        </w:tc>
        <w:tc>
          <w:tcPr>
            <w:tcW w:w="494" w:type="dxa"/>
            <w:vAlign w:val="center"/>
          </w:tcPr>
          <w:p w14:paraId="075DC58F" w14:textId="77777777" w:rsidR="00C905CD" w:rsidRDefault="00C905CD" w:rsidP="00C95AD0">
            <w:pPr>
              <w:jc w:val="center"/>
            </w:pPr>
          </w:p>
        </w:tc>
        <w:tc>
          <w:tcPr>
            <w:tcW w:w="494" w:type="dxa"/>
            <w:vAlign w:val="center"/>
          </w:tcPr>
          <w:p w14:paraId="3370BD37" w14:textId="77777777" w:rsidR="00C905CD" w:rsidRDefault="00C905CD" w:rsidP="00C95AD0">
            <w:pPr>
              <w:jc w:val="center"/>
            </w:pPr>
          </w:p>
        </w:tc>
      </w:tr>
      <w:tr w:rsidR="00091894" w14:paraId="676F2E51" w14:textId="77777777" w:rsidTr="003E5EEA">
        <w:tc>
          <w:tcPr>
            <w:tcW w:w="2040" w:type="dxa"/>
            <w:vMerge/>
            <w:vAlign w:val="center"/>
          </w:tcPr>
          <w:p w14:paraId="60091815" w14:textId="77777777" w:rsidR="00091894" w:rsidRDefault="00091894" w:rsidP="00C95AD0"/>
        </w:tc>
        <w:tc>
          <w:tcPr>
            <w:tcW w:w="2024" w:type="dxa"/>
            <w:vAlign w:val="center"/>
          </w:tcPr>
          <w:p w14:paraId="57EDCE2C" w14:textId="2FAF3A12" w:rsidR="00091894" w:rsidRDefault="00091894" w:rsidP="00C95AD0">
            <w:r>
              <w:t xml:space="preserve">Establishing a fund management mechanism ensuring that proceeds from the lottery will </w:t>
            </w:r>
            <w:r w:rsidR="003E5EEA">
              <w:t>be invested in biodiversity management</w:t>
            </w:r>
            <w:r>
              <w:t xml:space="preserve"> </w:t>
            </w:r>
          </w:p>
        </w:tc>
        <w:tc>
          <w:tcPr>
            <w:tcW w:w="1495" w:type="dxa"/>
            <w:vAlign w:val="center"/>
          </w:tcPr>
          <w:p w14:paraId="590B4114" w14:textId="77777777" w:rsidR="00091894" w:rsidRDefault="00091894" w:rsidP="00C95AD0"/>
        </w:tc>
        <w:tc>
          <w:tcPr>
            <w:tcW w:w="494" w:type="dxa"/>
            <w:shd w:val="clear" w:color="auto" w:fill="auto"/>
            <w:vAlign w:val="center"/>
          </w:tcPr>
          <w:p w14:paraId="1FCC86F7" w14:textId="77777777" w:rsidR="00091894" w:rsidRDefault="00091894" w:rsidP="00C95AD0">
            <w:pPr>
              <w:jc w:val="center"/>
            </w:pPr>
          </w:p>
        </w:tc>
        <w:tc>
          <w:tcPr>
            <w:tcW w:w="494" w:type="dxa"/>
            <w:shd w:val="clear" w:color="auto" w:fill="BFBFBF" w:themeFill="background1" w:themeFillShade="BF"/>
            <w:vAlign w:val="center"/>
          </w:tcPr>
          <w:p w14:paraId="04627E63" w14:textId="77777777" w:rsidR="00091894" w:rsidRDefault="00091894" w:rsidP="00C95AD0">
            <w:pPr>
              <w:jc w:val="center"/>
            </w:pPr>
          </w:p>
        </w:tc>
        <w:tc>
          <w:tcPr>
            <w:tcW w:w="494" w:type="dxa"/>
            <w:shd w:val="clear" w:color="auto" w:fill="BFBFBF" w:themeFill="background1" w:themeFillShade="BF"/>
            <w:vAlign w:val="center"/>
          </w:tcPr>
          <w:p w14:paraId="51974879" w14:textId="77777777" w:rsidR="00091894" w:rsidRDefault="00091894" w:rsidP="00C95AD0">
            <w:pPr>
              <w:jc w:val="center"/>
            </w:pPr>
          </w:p>
        </w:tc>
        <w:tc>
          <w:tcPr>
            <w:tcW w:w="494" w:type="dxa"/>
            <w:shd w:val="clear" w:color="auto" w:fill="BFBFBF" w:themeFill="background1" w:themeFillShade="BF"/>
            <w:vAlign w:val="center"/>
          </w:tcPr>
          <w:p w14:paraId="33C41FC0" w14:textId="77777777" w:rsidR="00091894" w:rsidRDefault="00091894" w:rsidP="00C95AD0">
            <w:pPr>
              <w:jc w:val="center"/>
            </w:pPr>
          </w:p>
        </w:tc>
        <w:tc>
          <w:tcPr>
            <w:tcW w:w="494" w:type="dxa"/>
            <w:shd w:val="clear" w:color="auto" w:fill="BFBFBF" w:themeFill="background1" w:themeFillShade="BF"/>
            <w:vAlign w:val="center"/>
          </w:tcPr>
          <w:p w14:paraId="0602E1C5" w14:textId="77777777" w:rsidR="00091894" w:rsidRDefault="00091894" w:rsidP="00C95AD0">
            <w:pPr>
              <w:jc w:val="center"/>
            </w:pPr>
          </w:p>
        </w:tc>
        <w:tc>
          <w:tcPr>
            <w:tcW w:w="494" w:type="dxa"/>
            <w:vAlign w:val="center"/>
          </w:tcPr>
          <w:p w14:paraId="379BEDF3" w14:textId="77777777" w:rsidR="00091894" w:rsidRDefault="00091894" w:rsidP="00C95AD0">
            <w:pPr>
              <w:jc w:val="center"/>
            </w:pPr>
          </w:p>
        </w:tc>
        <w:tc>
          <w:tcPr>
            <w:tcW w:w="494" w:type="dxa"/>
            <w:vAlign w:val="center"/>
          </w:tcPr>
          <w:p w14:paraId="740463A2" w14:textId="77777777" w:rsidR="00091894" w:rsidRDefault="00091894" w:rsidP="00C95AD0">
            <w:pPr>
              <w:jc w:val="center"/>
            </w:pPr>
          </w:p>
        </w:tc>
      </w:tr>
      <w:tr w:rsidR="00C905CD" w14:paraId="44A674B8" w14:textId="77777777" w:rsidTr="00DE77DE">
        <w:tc>
          <w:tcPr>
            <w:tcW w:w="2040" w:type="dxa"/>
            <w:vMerge/>
            <w:vAlign w:val="center"/>
          </w:tcPr>
          <w:p w14:paraId="34F9ADB6" w14:textId="77777777" w:rsidR="00C905CD" w:rsidRDefault="00C905CD" w:rsidP="00C95AD0"/>
        </w:tc>
        <w:tc>
          <w:tcPr>
            <w:tcW w:w="2024" w:type="dxa"/>
            <w:vAlign w:val="center"/>
          </w:tcPr>
          <w:p w14:paraId="6989FCED" w14:textId="3A44E54E" w:rsidR="00C905CD" w:rsidRDefault="00C905CD" w:rsidP="00C95AD0">
            <w:r>
              <w:t>Monitoring and evaluation</w:t>
            </w:r>
            <w:r w:rsidR="004A3ADB">
              <w:t>, including social impacts</w:t>
            </w:r>
          </w:p>
        </w:tc>
        <w:tc>
          <w:tcPr>
            <w:tcW w:w="1495" w:type="dxa"/>
            <w:vAlign w:val="center"/>
          </w:tcPr>
          <w:p w14:paraId="6DB8F9D2" w14:textId="77777777" w:rsidR="00C905CD" w:rsidRDefault="0003307E" w:rsidP="00C95AD0">
            <w:r>
              <w:t>NLB</w:t>
            </w:r>
          </w:p>
        </w:tc>
        <w:tc>
          <w:tcPr>
            <w:tcW w:w="494" w:type="dxa"/>
            <w:shd w:val="clear" w:color="auto" w:fill="auto"/>
            <w:vAlign w:val="center"/>
          </w:tcPr>
          <w:p w14:paraId="6C54D271" w14:textId="77777777" w:rsidR="00C905CD" w:rsidRDefault="00C905CD" w:rsidP="00C95AD0">
            <w:pPr>
              <w:jc w:val="center"/>
            </w:pPr>
          </w:p>
        </w:tc>
        <w:tc>
          <w:tcPr>
            <w:tcW w:w="494" w:type="dxa"/>
            <w:shd w:val="clear" w:color="auto" w:fill="auto"/>
            <w:vAlign w:val="center"/>
          </w:tcPr>
          <w:p w14:paraId="0D1A1B49" w14:textId="77777777" w:rsidR="00C905CD" w:rsidRDefault="00C905CD" w:rsidP="00C95AD0">
            <w:pPr>
              <w:jc w:val="center"/>
            </w:pPr>
          </w:p>
        </w:tc>
        <w:tc>
          <w:tcPr>
            <w:tcW w:w="494" w:type="dxa"/>
            <w:shd w:val="clear" w:color="auto" w:fill="BFBFBF" w:themeFill="background1" w:themeFillShade="BF"/>
            <w:vAlign w:val="center"/>
          </w:tcPr>
          <w:p w14:paraId="3D957817" w14:textId="77777777" w:rsidR="00C905CD" w:rsidRDefault="00C905CD" w:rsidP="00C95AD0">
            <w:pPr>
              <w:jc w:val="center"/>
            </w:pPr>
          </w:p>
        </w:tc>
        <w:tc>
          <w:tcPr>
            <w:tcW w:w="494" w:type="dxa"/>
            <w:shd w:val="clear" w:color="auto" w:fill="auto"/>
            <w:vAlign w:val="center"/>
          </w:tcPr>
          <w:p w14:paraId="2A2CE984" w14:textId="77777777" w:rsidR="00C905CD" w:rsidRDefault="00C905CD" w:rsidP="00C95AD0">
            <w:pPr>
              <w:jc w:val="center"/>
            </w:pPr>
          </w:p>
        </w:tc>
        <w:tc>
          <w:tcPr>
            <w:tcW w:w="494" w:type="dxa"/>
            <w:shd w:val="clear" w:color="auto" w:fill="auto"/>
            <w:vAlign w:val="center"/>
          </w:tcPr>
          <w:p w14:paraId="18073AA8" w14:textId="77777777" w:rsidR="00C905CD" w:rsidRDefault="00C905CD" w:rsidP="00C95AD0">
            <w:pPr>
              <w:jc w:val="center"/>
            </w:pPr>
          </w:p>
        </w:tc>
        <w:tc>
          <w:tcPr>
            <w:tcW w:w="494" w:type="dxa"/>
            <w:vAlign w:val="center"/>
          </w:tcPr>
          <w:p w14:paraId="6862005E" w14:textId="77777777" w:rsidR="00C905CD" w:rsidRDefault="00C905CD" w:rsidP="00C95AD0">
            <w:pPr>
              <w:jc w:val="center"/>
            </w:pPr>
          </w:p>
        </w:tc>
        <w:tc>
          <w:tcPr>
            <w:tcW w:w="494" w:type="dxa"/>
            <w:vAlign w:val="center"/>
          </w:tcPr>
          <w:p w14:paraId="12B4FEFA" w14:textId="77777777" w:rsidR="00C905CD" w:rsidRDefault="00C905CD" w:rsidP="00C95AD0">
            <w:pPr>
              <w:jc w:val="center"/>
            </w:pPr>
          </w:p>
        </w:tc>
      </w:tr>
      <w:tr w:rsidR="00C905CD" w14:paraId="1663490D" w14:textId="77777777" w:rsidTr="00C95AD0">
        <w:tc>
          <w:tcPr>
            <w:tcW w:w="2040" w:type="dxa"/>
            <w:vAlign w:val="center"/>
          </w:tcPr>
          <w:p w14:paraId="40D87DA7" w14:textId="77777777" w:rsidR="00C905CD" w:rsidRDefault="00C905CD" w:rsidP="00DE77DE">
            <w:r>
              <w:t xml:space="preserve">Budget </w:t>
            </w:r>
          </w:p>
        </w:tc>
        <w:tc>
          <w:tcPr>
            <w:tcW w:w="6977" w:type="dxa"/>
            <w:gridSpan w:val="9"/>
            <w:vAlign w:val="center"/>
          </w:tcPr>
          <w:p w14:paraId="4C593C18" w14:textId="77777777" w:rsidR="00C905CD" w:rsidRDefault="00DE77DE" w:rsidP="00DE77DE">
            <w:r>
              <w:t>US$ 25,000</w:t>
            </w:r>
          </w:p>
        </w:tc>
      </w:tr>
      <w:tr w:rsidR="00C905CD" w14:paraId="609608DB" w14:textId="77777777" w:rsidTr="00C95AD0">
        <w:tc>
          <w:tcPr>
            <w:tcW w:w="2040" w:type="dxa"/>
            <w:vAlign w:val="center"/>
          </w:tcPr>
          <w:p w14:paraId="79F63383" w14:textId="77777777" w:rsidR="00C905CD" w:rsidRDefault="00C905CD" w:rsidP="00C95AD0">
            <w:r>
              <w:t>Financial result</w:t>
            </w:r>
          </w:p>
        </w:tc>
        <w:tc>
          <w:tcPr>
            <w:tcW w:w="6977" w:type="dxa"/>
            <w:gridSpan w:val="9"/>
            <w:vAlign w:val="center"/>
          </w:tcPr>
          <w:p w14:paraId="752326D7" w14:textId="77777777" w:rsidR="00C905CD" w:rsidRDefault="00C905CD" w:rsidP="00DE77DE">
            <w:r>
              <w:t xml:space="preserve">US$ </w:t>
            </w:r>
            <w:r w:rsidR="00DE77DE">
              <w:t>3 million</w:t>
            </w:r>
            <w:r>
              <w:t xml:space="preserve"> per annum (based on the assumption that </w:t>
            </w:r>
            <w:r w:rsidR="00DE77DE">
              <w:t>minimum 100,000 lottery sales per week</w:t>
            </w:r>
            <w:r>
              <w:t>)</w:t>
            </w:r>
            <w:r w:rsidR="00AD437D">
              <w:t>; US$ 15 million for 2020-2024</w:t>
            </w:r>
          </w:p>
        </w:tc>
      </w:tr>
    </w:tbl>
    <w:p w14:paraId="5395C40E" w14:textId="77777777" w:rsidR="00C905CD" w:rsidRDefault="00C905CD" w:rsidP="00BB5D98">
      <w:pPr>
        <w:jc w:val="both"/>
      </w:pPr>
    </w:p>
    <w:p w14:paraId="55D9C827" w14:textId="77777777" w:rsidR="00B6260F" w:rsidRDefault="00B6260F" w:rsidP="00BB5D98">
      <w:pPr>
        <w:jc w:val="both"/>
      </w:pPr>
    </w:p>
    <w:p w14:paraId="338F23EE" w14:textId="77777777" w:rsidR="000903A5" w:rsidRDefault="000903A5" w:rsidP="00096769">
      <w:pPr>
        <w:pStyle w:val="Heading4"/>
      </w:pPr>
      <w:r>
        <w:t>6. Payment for Ecosystems Services (PES): PES schemes in the energy sector</w:t>
      </w:r>
    </w:p>
    <w:p w14:paraId="156228F2" w14:textId="77777777" w:rsidR="005470F1" w:rsidRDefault="00442966" w:rsidP="00442966">
      <w:pPr>
        <w:jc w:val="both"/>
      </w:pPr>
      <w:r>
        <w:t>Electricity power generation in Sri Lanka depends basically on three main sources: thermal oi</w:t>
      </w:r>
      <w:r w:rsidR="005157CA">
        <w:t xml:space="preserve">l, coal power, and hydro power. Out of </w:t>
      </w:r>
      <w:r w:rsidR="00C237D7">
        <w:t>the</w:t>
      </w:r>
      <w:r w:rsidR="00C237D7" w:rsidRPr="00C237D7">
        <w:t xml:space="preserve"> total electricity generation</w:t>
      </w:r>
      <w:r w:rsidR="00C237D7">
        <w:t xml:space="preserve"> </w:t>
      </w:r>
      <w:r w:rsidR="005157CA">
        <w:t xml:space="preserve">over </w:t>
      </w:r>
      <w:r w:rsidR="00C237D7">
        <w:t>1</w:t>
      </w:r>
      <w:r w:rsidR="005157CA">
        <w:t>4</w:t>
      </w:r>
      <w:r w:rsidR="00C237D7">
        <w:t>,</w:t>
      </w:r>
      <w:r w:rsidR="005157CA">
        <w:t xml:space="preserve">000 </w:t>
      </w:r>
      <w:r w:rsidR="00C237D7">
        <w:t xml:space="preserve">GWh </w:t>
      </w:r>
      <w:r w:rsidR="00280C92">
        <w:t xml:space="preserve">as </w:t>
      </w:r>
      <w:r w:rsidR="005157CA">
        <w:t>in 2016, 31 percent was from thermal oil, 36 percent from coal</w:t>
      </w:r>
      <w:r w:rsidR="00280C92">
        <w:t xml:space="preserve"> and</w:t>
      </w:r>
      <w:r w:rsidR="005157CA">
        <w:t>, 30 percent from hydro power.</w:t>
      </w:r>
      <w:r w:rsidR="00280C92">
        <w:t xml:space="preserve"> </w:t>
      </w:r>
      <w:r w:rsidR="005470F1" w:rsidRPr="005470F1">
        <w:t xml:space="preserve">As the average unit cost of generating 1 </w:t>
      </w:r>
      <w:proofErr w:type="spellStart"/>
      <w:r w:rsidR="005470F1" w:rsidRPr="005470F1">
        <w:t>KWh</w:t>
      </w:r>
      <w:proofErr w:type="spellEnd"/>
      <w:r w:rsidR="005470F1" w:rsidRPr="005470F1">
        <w:t xml:space="preserve"> of electricity is LKR 26.59 from thermal oil, LKR 14.00 from coal power and, LKR 3.27 from hydro power.</w:t>
      </w:r>
    </w:p>
    <w:p w14:paraId="71C98A54" w14:textId="77777777" w:rsidR="003679CE" w:rsidRDefault="005470F1" w:rsidP="00442966">
      <w:pPr>
        <w:jc w:val="both"/>
      </w:pPr>
      <w:r w:rsidRPr="005470F1">
        <w:t xml:space="preserve">While the Ceylon Electricity Board (CEB) - a state-owned enterprise </w:t>
      </w:r>
      <w:r w:rsidR="008741EF">
        <w:t>generates</w:t>
      </w:r>
      <w:r w:rsidRPr="005470F1">
        <w:t xml:space="preserve"> 77 percent of the total electricity generation, small-scale private power producers (PPPs) generate 23 percent which is purchased by the C</w:t>
      </w:r>
      <w:r w:rsidR="008741EF">
        <w:t>EB at fixed price</w:t>
      </w:r>
      <w:r w:rsidRPr="005470F1">
        <w:t>.</w:t>
      </w:r>
      <w:r w:rsidR="00B902A2">
        <w:t xml:space="preserve"> </w:t>
      </w:r>
      <w:r w:rsidR="00F8594A">
        <w:t xml:space="preserve">The </w:t>
      </w:r>
      <w:r w:rsidR="00B902A2">
        <w:t>Public Utility Commission of Sri Lanka (PUCSL)</w:t>
      </w:r>
      <w:r w:rsidR="00F8594A">
        <w:t xml:space="preserve"> - an independent regulatory body, regulates the electricity </w:t>
      </w:r>
      <w:r w:rsidR="003679CE">
        <w:t>prices</w:t>
      </w:r>
      <w:r w:rsidR="00F8594A">
        <w:t xml:space="preserve"> for the consumers.</w:t>
      </w:r>
      <w:r w:rsidR="00E31A6A">
        <w:t xml:space="preserve"> </w:t>
      </w:r>
    </w:p>
    <w:p w14:paraId="5BCC9E1E" w14:textId="77777777" w:rsidR="00442966" w:rsidRDefault="00A8082B" w:rsidP="00442966">
      <w:pPr>
        <w:jc w:val="both"/>
      </w:pPr>
      <w:r w:rsidRPr="00A8082B">
        <w:t>CEB’s revenue account for nearly about 2 p</w:t>
      </w:r>
      <w:r w:rsidR="00FA540F">
        <w:t>ercent of the country’s GDP, it</w:t>
      </w:r>
      <w:r w:rsidRPr="00A8082B">
        <w:t xml:space="preserve"> is one of the largest single enterprises in Sri Lanka.</w:t>
      </w:r>
      <w:r>
        <w:t xml:space="preserve"> A</w:t>
      </w:r>
      <w:r w:rsidR="003679CE">
        <w:t xml:space="preserve">verage cost per unit is LKR 18.00 per </w:t>
      </w:r>
      <w:proofErr w:type="spellStart"/>
      <w:r w:rsidR="003679CE">
        <w:t>KWh</w:t>
      </w:r>
      <w:proofErr w:type="spellEnd"/>
      <w:r w:rsidR="003679CE">
        <w:t xml:space="preserve">, while average selling price is LKR 16.00 per </w:t>
      </w:r>
      <w:proofErr w:type="spellStart"/>
      <w:r w:rsidR="003679CE">
        <w:t>KWh</w:t>
      </w:r>
      <w:proofErr w:type="spellEnd"/>
      <w:r w:rsidR="003679CE">
        <w:t>. Nevertheless, electricity prices are still high in Sri Lanka compared to many other countries in the region.</w:t>
      </w:r>
      <w:r>
        <w:t xml:space="preserve"> </w:t>
      </w:r>
      <w:r w:rsidR="00FA540F">
        <w:t>As the hydropower generation and the fuel costs are subject to high volatility, the power generation mix as well as the average costs vary significantly.</w:t>
      </w:r>
    </w:p>
    <w:p w14:paraId="0B949629" w14:textId="77777777" w:rsidR="00447468" w:rsidRDefault="00447468" w:rsidP="00442966">
      <w:pPr>
        <w:jc w:val="both"/>
      </w:pPr>
      <w:r w:rsidRPr="00447468">
        <w:t>PES in the energy sector</w:t>
      </w:r>
    </w:p>
    <w:p w14:paraId="5E515F36" w14:textId="790616F2" w:rsidR="00447468" w:rsidRDefault="00447468" w:rsidP="00442966">
      <w:pPr>
        <w:jc w:val="both"/>
      </w:pPr>
      <w:r>
        <w:t xml:space="preserve">PES is new to Sri </w:t>
      </w:r>
      <w:proofErr w:type="gramStart"/>
      <w:r>
        <w:t>Lanka</w:t>
      </w:r>
      <w:proofErr w:type="gramEnd"/>
      <w:r>
        <w:t xml:space="preserve"> so </w:t>
      </w:r>
      <w:r w:rsidR="004E7A44">
        <w:t xml:space="preserve">the concept needs to be understood by the various stakeholders and supported by </w:t>
      </w:r>
      <w:r w:rsidR="00577837">
        <w:t xml:space="preserve">a considerable </w:t>
      </w:r>
      <w:r w:rsidR="004E7A44">
        <w:t>effort</w:t>
      </w:r>
      <w:r w:rsidR="00577837">
        <w:t xml:space="preserve"> on studies and experiments.</w:t>
      </w:r>
    </w:p>
    <w:p w14:paraId="72BE7CEC" w14:textId="79AB4449" w:rsidR="00577837" w:rsidRPr="00E26FDB" w:rsidRDefault="00577837" w:rsidP="00442966">
      <w:pPr>
        <w:jc w:val="both"/>
        <w:rPr>
          <w:strike/>
        </w:rPr>
      </w:pPr>
      <w:r>
        <w:t>An introduction of PES in energy sector is considered important because power generation has significant negative implications on the country’s biodiversity and ecosystem services</w:t>
      </w:r>
      <w:r w:rsidR="004E7A44">
        <w:t xml:space="preserve"> whilst the condition of watersheds also influences power generation efficiencies especially in hydropower</w:t>
      </w:r>
      <w:r>
        <w:t>. In addition, PES appears to have a positive impact on resolving some of the internal issues in the energy sector that affects the cost advantage and competitiveness of the national economy.</w:t>
      </w:r>
      <w:r w:rsidR="00794481">
        <w:t xml:space="preserve"> </w:t>
      </w:r>
    </w:p>
    <w:p w14:paraId="10CB4F91" w14:textId="77777777" w:rsidR="00F546DA" w:rsidRDefault="004D2A5B" w:rsidP="006278CE">
      <w:pPr>
        <w:jc w:val="both"/>
      </w:pPr>
      <w:r>
        <w:t xml:space="preserve">There are three finance solutions proposed under the </w:t>
      </w:r>
      <w:r w:rsidR="006278CE">
        <w:t xml:space="preserve">PES: (6A) </w:t>
      </w:r>
      <w:r w:rsidR="00480178">
        <w:t>Payment for watershed management at mini-hydro power plant</w:t>
      </w:r>
      <w:r w:rsidR="006278CE">
        <w:t xml:space="preserve">, (6B) </w:t>
      </w:r>
      <w:r w:rsidR="00480178">
        <w:t xml:space="preserve">Payment for watershed management for hydropower generation at </w:t>
      </w:r>
      <w:proofErr w:type="spellStart"/>
      <w:r w:rsidR="00480178">
        <w:t>Moragahakanda</w:t>
      </w:r>
      <w:proofErr w:type="spellEnd"/>
      <w:r w:rsidR="006278CE">
        <w:t xml:space="preserve"> and, (6C) </w:t>
      </w:r>
      <w:r w:rsidR="00F546DA">
        <w:t>P</w:t>
      </w:r>
      <w:r w:rsidR="00F546DA" w:rsidRPr="00F546DA">
        <w:t>ayment for negative externalities of coal power generation</w:t>
      </w:r>
      <w:r w:rsidR="00F0340C">
        <w:t>. While the three finance solutions proposed stand as three distinct cases of the energy sector in Sri Lanka, taken together they are reinforcing and comprehensive in respect of covering the entire energy sector.</w:t>
      </w:r>
    </w:p>
    <w:p w14:paraId="62B81B75" w14:textId="77777777" w:rsidR="008817F1" w:rsidRDefault="008817F1" w:rsidP="00BB5D98">
      <w:pPr>
        <w:jc w:val="both"/>
      </w:pPr>
    </w:p>
    <w:p w14:paraId="4C0230AB" w14:textId="77777777" w:rsidR="00DC015C" w:rsidRPr="00E04C93" w:rsidRDefault="00096769" w:rsidP="00BB5D98">
      <w:pPr>
        <w:jc w:val="both"/>
        <w:rPr>
          <w:b/>
        </w:rPr>
      </w:pPr>
      <w:r>
        <w:rPr>
          <w:b/>
        </w:rPr>
        <w:t xml:space="preserve">6A </w:t>
      </w:r>
      <w:r w:rsidR="00DC015C" w:rsidRPr="00E04C93">
        <w:rPr>
          <w:b/>
        </w:rPr>
        <w:t>Payment for watershed management at mini-hydro power plant</w:t>
      </w:r>
    </w:p>
    <w:p w14:paraId="0B11EFCF" w14:textId="77777777" w:rsidR="0076505B" w:rsidRDefault="00EA69A6" w:rsidP="00BB5D98">
      <w:pPr>
        <w:jc w:val="both"/>
      </w:pPr>
      <w:r>
        <w:t xml:space="preserve">The finance solution is to ensure </w:t>
      </w:r>
      <w:r w:rsidRPr="00EA69A6">
        <w:t xml:space="preserve">watershed management with </w:t>
      </w:r>
      <w:r w:rsidR="00BC3DFF">
        <w:t>a PES</w:t>
      </w:r>
      <w:r w:rsidRPr="00EA69A6">
        <w:t xml:space="preserve"> </w:t>
      </w:r>
      <w:r w:rsidR="00BC3DFF">
        <w:t xml:space="preserve">scheme </w:t>
      </w:r>
      <w:r w:rsidRPr="00EA69A6">
        <w:t>t</w:t>
      </w:r>
      <w:r>
        <w:t xml:space="preserve">o sustain </w:t>
      </w:r>
      <w:r w:rsidR="00BC3DFF">
        <w:t xml:space="preserve">hydropower generation by </w:t>
      </w:r>
      <w:r>
        <w:t>a Mini-Hydro P</w:t>
      </w:r>
      <w:r w:rsidRPr="00EA69A6">
        <w:t xml:space="preserve">ower </w:t>
      </w:r>
      <w:r>
        <w:t xml:space="preserve">(MHP) </w:t>
      </w:r>
      <w:r w:rsidRPr="00EA69A6">
        <w:t>plant</w:t>
      </w:r>
      <w:r>
        <w:t>.</w:t>
      </w:r>
      <w:r w:rsidR="00237F9B">
        <w:t xml:space="preserve"> The proposal is a case study with an implementation project.</w:t>
      </w:r>
    </w:p>
    <w:p w14:paraId="4A2989F4" w14:textId="77777777" w:rsidR="00AD437D" w:rsidRDefault="00AD437D" w:rsidP="00BB5D98">
      <w:pPr>
        <w:jc w:val="both"/>
      </w:pPr>
      <w:r>
        <w:t>Objective</w:t>
      </w:r>
    </w:p>
    <w:p w14:paraId="369E207F" w14:textId="77777777" w:rsidR="00AD437D" w:rsidRDefault="00AD437D" w:rsidP="00BB5D98">
      <w:pPr>
        <w:jc w:val="both"/>
      </w:pPr>
      <w:r>
        <w:t>To improve watershed management through a PES scheme for enhancing and sustaining hydro-power generation by a private power producer</w:t>
      </w:r>
    </w:p>
    <w:p w14:paraId="6B516D38" w14:textId="77777777" w:rsidR="00EA69A6" w:rsidRDefault="00EA69A6" w:rsidP="00BB5D98">
      <w:pPr>
        <w:jc w:val="both"/>
      </w:pPr>
      <w:r>
        <w:t>Description</w:t>
      </w:r>
    </w:p>
    <w:p w14:paraId="5377BDDA" w14:textId="0ABC1745" w:rsidR="009C6315" w:rsidRDefault="00BE7612" w:rsidP="00BE7612">
      <w:pPr>
        <w:jc w:val="both"/>
      </w:pPr>
      <w:r>
        <w:t xml:space="preserve">There are more than 150 MHP producers in the country who generates electricity from their small-scale power plants using the natural water streams. They sell their product to the national electricity grid owned by the Ceylon Electricity Board (CEB) at a fixed price. However, MHPs operates at extremely low plant factor due to gradual decline in water quantity and quality largely due to the deterioration of the watershed ecosystems. </w:t>
      </w:r>
      <w:r w:rsidR="009C6315">
        <w:t xml:space="preserve">As a result, more than two-thirds of the MHP plants in the country operates with less than 30 percent plant factor. The watersheds can be managed better if the communities and their activities in the upstream areas of the power plants collaborate in </w:t>
      </w:r>
      <w:r w:rsidR="004E7A44">
        <w:t>maintaining the quality of watersheds</w:t>
      </w:r>
      <w:r w:rsidR="009C6315">
        <w:t xml:space="preserve">. </w:t>
      </w:r>
    </w:p>
    <w:p w14:paraId="2DD7E951" w14:textId="6CD57905" w:rsidR="00BE7612" w:rsidRDefault="009C6315" w:rsidP="00BE7612">
      <w:pPr>
        <w:jc w:val="both"/>
      </w:pPr>
      <w:r>
        <w:t>Another social issue is the mistrust of the communities towards MHP operators whom they see as alien to the area and whose purpose is to exploit their resources and to make profits. A PES system can no doubt, lead to a better management of the watersheds, while it also help</w:t>
      </w:r>
      <w:r w:rsidR="004E7A44">
        <w:t>s in</w:t>
      </w:r>
      <w:r>
        <w:t xml:space="preserve"> building better relations between communities and MHP operators.</w:t>
      </w:r>
    </w:p>
    <w:p w14:paraId="4F1E9886" w14:textId="77777777" w:rsidR="00BE7612" w:rsidRDefault="00BE7612" w:rsidP="00BE7612">
      <w:pPr>
        <w:jc w:val="both"/>
      </w:pPr>
      <w:r>
        <w:t>The Proposal covers two Phases of the project:</w:t>
      </w:r>
    </w:p>
    <w:p w14:paraId="63CE2D2F" w14:textId="1D4A969E" w:rsidR="00BE7612" w:rsidRDefault="00BE7612" w:rsidP="00A4708D">
      <w:pPr>
        <w:pStyle w:val="ListParagraph"/>
        <w:numPr>
          <w:ilvl w:val="0"/>
          <w:numId w:val="10"/>
        </w:numPr>
        <w:jc w:val="both"/>
      </w:pPr>
      <w:r>
        <w:t>Phase</w:t>
      </w:r>
      <w:r w:rsidR="008172CE">
        <w:t xml:space="preserve"> 1</w:t>
      </w:r>
      <w:r>
        <w:t xml:space="preserve">: </w:t>
      </w:r>
      <w:r w:rsidR="004A3ADB">
        <w:t xml:space="preserve">Feasibility </w:t>
      </w:r>
      <w:r w:rsidR="008172CE">
        <w:t xml:space="preserve">and </w:t>
      </w:r>
      <w:r w:rsidR="004A3ADB">
        <w:t>Design of the</w:t>
      </w:r>
      <w:r>
        <w:t xml:space="preserve"> PES mechanism </w:t>
      </w:r>
    </w:p>
    <w:p w14:paraId="77A8627A" w14:textId="77777777" w:rsidR="00EA69A6" w:rsidRDefault="00BE7612" w:rsidP="00A4708D">
      <w:pPr>
        <w:pStyle w:val="ListParagraph"/>
        <w:numPr>
          <w:ilvl w:val="0"/>
          <w:numId w:val="10"/>
        </w:numPr>
        <w:jc w:val="both"/>
      </w:pPr>
      <w:r>
        <w:t>Phase</w:t>
      </w:r>
      <w:r w:rsidR="008172CE">
        <w:t xml:space="preserve"> 2</w:t>
      </w:r>
      <w:r>
        <w:t>: Implementation of PES mechanism</w:t>
      </w:r>
    </w:p>
    <w:p w14:paraId="11D6CC92" w14:textId="5180FF18" w:rsidR="008805E1" w:rsidRDefault="008172CE" w:rsidP="00BB5D98">
      <w:pPr>
        <w:jc w:val="both"/>
      </w:pPr>
      <w:r>
        <w:t>For the project, a private MHP company will be selected</w:t>
      </w:r>
      <w:r w:rsidR="00B6260F">
        <w:t xml:space="preserve"> on voluntary basis</w:t>
      </w:r>
      <w:r>
        <w:t>. This case study and the PES mechanism is expected to be an experimental case that can be replicated for many other MHP companies as well as similar cases elsewhere.</w:t>
      </w:r>
    </w:p>
    <w:p w14:paraId="7872C664" w14:textId="4695B820" w:rsidR="000F53E1" w:rsidRDefault="000F53E1" w:rsidP="00BB5D98">
      <w:pPr>
        <w:jc w:val="both"/>
      </w:pPr>
      <w:r>
        <w:t>The finance solution will result in an avoiding future costs of ecosystems management and a mobilization of resources for investing in biodiversity.</w:t>
      </w:r>
      <w:r w:rsidR="00B3214C">
        <w:t xml:space="preserve"> While the buyers of the </w:t>
      </w:r>
      <w:proofErr w:type="gramStart"/>
      <w:r w:rsidR="00B3214C">
        <w:t>ecosystems</w:t>
      </w:r>
      <w:proofErr w:type="gramEnd"/>
      <w:r w:rsidR="00B3214C">
        <w:t xml:space="preserve"> services are expected to generate and mobilize finances, the sellers are expected to manage the ecosystem services better.</w:t>
      </w:r>
      <w:r w:rsidR="0030226D">
        <w:t xml:space="preserve"> The buyers are the MHP producers while the sellers are the communities </w:t>
      </w:r>
      <w:r w:rsidR="0016002A">
        <w:t>maintaining the watersheds.</w:t>
      </w:r>
    </w:p>
    <w:p w14:paraId="6631E3DC" w14:textId="77777777" w:rsidR="00000CD4" w:rsidRDefault="00000CD4" w:rsidP="00BB5D98">
      <w:pPr>
        <w:jc w:val="both"/>
      </w:pPr>
      <w:r>
        <w:t>Business case</w:t>
      </w:r>
    </w:p>
    <w:p w14:paraId="3A03BE61" w14:textId="156F8703" w:rsidR="00706913" w:rsidRDefault="00C671E1" w:rsidP="00BB5D98">
      <w:pPr>
        <w:jc w:val="both"/>
      </w:pPr>
      <w:r>
        <w:t xml:space="preserve">The finance solution is expected to be attractive to </w:t>
      </w:r>
      <w:proofErr w:type="gramStart"/>
      <w:r>
        <w:t>a</w:t>
      </w:r>
      <w:proofErr w:type="gramEnd"/>
      <w:r>
        <w:t xml:space="preserve"> MHP company because it ensures long-term sustainability of the watershed ecosystems with required quantity and quality of water to generate hydropower. </w:t>
      </w:r>
      <w:r w:rsidR="00706913">
        <w:t xml:space="preserve">It is an attractive finance solution to the communities who would be the direct beneficiaries of the PES mechanism. </w:t>
      </w:r>
    </w:p>
    <w:p w14:paraId="22FF60BD" w14:textId="049EB188" w:rsidR="00000CD4" w:rsidRDefault="009634D8" w:rsidP="00BB5D98">
      <w:pPr>
        <w:jc w:val="both"/>
      </w:pPr>
      <w:r>
        <w:t>Even i</w:t>
      </w:r>
      <w:r w:rsidRPr="009634D8">
        <w:t>f the MHP is willing to add LKR 0.10 to its average unit cost</w:t>
      </w:r>
      <w:r>
        <w:t xml:space="preserve"> which would reduce the profit margin only marginally</w:t>
      </w:r>
      <w:r w:rsidRPr="009634D8">
        <w:t>,</w:t>
      </w:r>
      <w:r>
        <w:t xml:space="preserve"> it</w:t>
      </w:r>
      <w:r w:rsidR="00C671E1">
        <w:t xml:space="preserve"> will improve the plant factor and sustain its</w:t>
      </w:r>
      <w:r>
        <w:t xml:space="preserve"> long-term</w:t>
      </w:r>
      <w:r w:rsidR="00C671E1">
        <w:t xml:space="preserve"> stability by </w:t>
      </w:r>
      <w:r>
        <w:t>improving the long-term profits significantly</w:t>
      </w:r>
      <w:r w:rsidR="00C671E1">
        <w:t xml:space="preserve">. </w:t>
      </w:r>
      <w:r w:rsidR="005142DB">
        <w:t>Therefore, it could be part of the core business of the MHP operators whose business performance and long-term sustainability are due to improve.</w:t>
      </w:r>
    </w:p>
    <w:p w14:paraId="3A2F0921" w14:textId="4E9171BB" w:rsidR="00C671E1" w:rsidRPr="00E26FDB" w:rsidRDefault="009634D8" w:rsidP="00BB5D98">
      <w:pPr>
        <w:jc w:val="both"/>
        <w:rPr>
          <w:b/>
        </w:rPr>
      </w:pPr>
      <w:r>
        <w:t xml:space="preserve">Replacement of expensive thermal oil with improved hydro power will reduce the cost of electricity and expenditure on thermal oil for the CEB </w:t>
      </w:r>
      <w:proofErr w:type="gramStart"/>
      <w:r>
        <w:t>in particular and</w:t>
      </w:r>
      <w:proofErr w:type="gramEnd"/>
      <w:r>
        <w:t xml:space="preserve"> for the national economy. </w:t>
      </w:r>
      <w:r w:rsidR="00DC6599">
        <w:t xml:space="preserve">Given the cost difference between hydropower and thermal oil, </w:t>
      </w:r>
      <w:r w:rsidR="00590D57">
        <w:t>each</w:t>
      </w:r>
      <w:r w:rsidR="00DC6599">
        <w:t xml:space="preserve"> additional unit of electricity (</w:t>
      </w:r>
      <w:proofErr w:type="spellStart"/>
      <w:r w:rsidR="00DC6599">
        <w:t>KWh</w:t>
      </w:r>
      <w:proofErr w:type="spellEnd"/>
      <w:r w:rsidR="00DC6599">
        <w:t xml:space="preserve">) generated from hydropower </w:t>
      </w:r>
      <w:r w:rsidR="00590D57">
        <w:t xml:space="preserve">spending LKR 3.27 plus 0.10 for PES </w:t>
      </w:r>
      <w:r w:rsidR="00DC6599">
        <w:t xml:space="preserve">will save </w:t>
      </w:r>
      <w:r w:rsidR="00590D57">
        <w:t xml:space="preserve">LKR 26.59 spent on a unit of power generated from thermal oil. </w:t>
      </w:r>
      <w:r>
        <w:t xml:space="preserve">Therefore, the finance solution is viable and feasible from the </w:t>
      </w:r>
      <w:r w:rsidR="0088179B">
        <w:t xml:space="preserve">national </w:t>
      </w:r>
      <w:r>
        <w:t>policy point of view</w:t>
      </w:r>
      <w:r w:rsidR="0088179B">
        <w:t xml:space="preserve"> as well</w:t>
      </w:r>
      <w:r>
        <w:t>.</w:t>
      </w:r>
      <w:r w:rsidR="00C671E1">
        <w:t xml:space="preserve"> </w:t>
      </w:r>
    </w:p>
    <w:p w14:paraId="570D736A" w14:textId="2D0BAAE2" w:rsidR="005142DB" w:rsidRDefault="005142DB" w:rsidP="00BB5D98">
      <w:pPr>
        <w:jc w:val="both"/>
      </w:pPr>
      <w:r>
        <w:t>While the finance solution derives financial benefits to both the MHP operators and the communities, its main thrust is towards biodiversity conservation and its sustainable use. The communities are expected to manage biodiversity in their own environment out of which they now derive financial benefits too.</w:t>
      </w:r>
    </w:p>
    <w:p w14:paraId="31935B8F" w14:textId="31BD660A" w:rsidR="00402159" w:rsidRDefault="001D2D09" w:rsidP="00BB5D98">
      <w:pPr>
        <w:jc w:val="both"/>
      </w:pPr>
      <w:r w:rsidRPr="001D2D09">
        <w:t xml:space="preserve">The finance solution is expected to contribute to NBSAP targets 2 and 4 with a reduction in habitat loss and species loss </w:t>
      </w:r>
      <w:r>
        <w:t xml:space="preserve">its positive impact on deforestation and nature conservation, </w:t>
      </w:r>
      <w:proofErr w:type="gramStart"/>
      <w:r>
        <w:t>It</w:t>
      </w:r>
      <w:proofErr w:type="gramEnd"/>
      <w:r>
        <w:t xml:space="preserve"> will also have a positive impact on </w:t>
      </w:r>
      <w:r w:rsidRPr="001D2D09">
        <w:t xml:space="preserve">sustainable use of biodiversity and ecosystems capacity </w:t>
      </w:r>
      <w:r>
        <w:t>in achieving Targets 6 and 11.</w:t>
      </w:r>
    </w:p>
    <w:p w14:paraId="397E01FE" w14:textId="77777777" w:rsidR="00000CD4" w:rsidRDefault="00000CD4" w:rsidP="00BB5D98">
      <w:pPr>
        <w:jc w:val="both"/>
      </w:pPr>
      <w:r>
        <w:t>Responsibility</w:t>
      </w:r>
    </w:p>
    <w:p w14:paraId="321F404C" w14:textId="77777777" w:rsidR="008172CE" w:rsidRDefault="00B92E41" w:rsidP="00BB5D98">
      <w:pPr>
        <w:jc w:val="both"/>
      </w:pPr>
      <w:proofErr w:type="gramStart"/>
      <w:r>
        <w:t>The study,</w:t>
      </w:r>
      <w:proofErr w:type="gramEnd"/>
      <w:r>
        <w:t xml:space="preserve"> followed by setting up the implementation mechanism with relevant stakeholders will be undertaken by the International Union for Conservation of Nature (IUCN) together with a selected private MHP company.</w:t>
      </w:r>
      <w:r w:rsidR="0088179B">
        <w:t xml:space="preserve"> As the buyer of PES is the MHP and the seller is the users of the biodiversity and ecosystems in the upstream areas, the IUCN will design the implementation mechanism incorporating the relevant stakeholders and a </w:t>
      </w:r>
      <w:proofErr w:type="gramStart"/>
      <w:r w:rsidR="0088179B">
        <w:t>mediating institutions</w:t>
      </w:r>
      <w:proofErr w:type="gramEnd"/>
      <w:r w:rsidR="004529D8">
        <w:t>, which would be part of the study</w:t>
      </w:r>
      <w:r w:rsidR="0088179B">
        <w:t>.</w:t>
      </w:r>
      <w:r w:rsidR="004529D8">
        <w:t xml:space="preserve"> Given the successful implantation of the PES scheme for the MHP, it can be extended to and replicated in other types of MPH companies.</w:t>
      </w:r>
    </w:p>
    <w:p w14:paraId="46744610" w14:textId="4E3740C4" w:rsidR="003B50BA" w:rsidRDefault="003B50BA" w:rsidP="00BB5D98">
      <w:pPr>
        <w:jc w:val="both"/>
      </w:pPr>
      <w:r>
        <w:t>Financial result</w:t>
      </w:r>
    </w:p>
    <w:p w14:paraId="17AFCC24" w14:textId="38C9D157" w:rsidR="003B50BA" w:rsidRDefault="003B50BA" w:rsidP="00BB5D98">
      <w:pPr>
        <w:jc w:val="both"/>
      </w:pPr>
      <w:r w:rsidRPr="003B50BA">
        <w:t xml:space="preserve">MHP operators sell electricity to CEB on average at Rs. 16.00, resulting in a </w:t>
      </w:r>
      <w:r>
        <w:t>lucrative</w:t>
      </w:r>
      <w:r w:rsidRPr="003B50BA">
        <w:t xml:space="preserve"> profit margin of over Rs. 12 per </w:t>
      </w:r>
      <w:proofErr w:type="spellStart"/>
      <w:r w:rsidRPr="003B50BA">
        <w:t>KWh</w:t>
      </w:r>
      <w:proofErr w:type="spellEnd"/>
      <w:r w:rsidRPr="003B50BA">
        <w:t>, given the cost of power generation is Rs. 3.27 on average. A payment of LKR 0.1/</w:t>
      </w:r>
      <w:proofErr w:type="spellStart"/>
      <w:r w:rsidRPr="003B50BA">
        <w:t>KWh</w:t>
      </w:r>
      <w:proofErr w:type="spellEnd"/>
      <w:r w:rsidRPr="003B50BA">
        <w:t xml:space="preserve"> (10 Cents/</w:t>
      </w:r>
      <w:proofErr w:type="spellStart"/>
      <w:r w:rsidRPr="003B50BA">
        <w:t>KWh</w:t>
      </w:r>
      <w:proofErr w:type="spellEnd"/>
      <w:r w:rsidRPr="003B50BA">
        <w:t xml:space="preserve">) electricity generated will reduce the profits </w:t>
      </w:r>
      <w:r>
        <w:t xml:space="preserve">only </w:t>
      </w:r>
      <w:r w:rsidRPr="003B50BA">
        <w:t>marginally. MHP, selling 100 GWh electricity to CEB, will mobilize LKR 10 million (US$ 62,500) annually in order to pay for ecosystem services, but will benefit from the better management of watershed for secured power generation as well.</w:t>
      </w:r>
    </w:p>
    <w:p w14:paraId="6D601A95" w14:textId="1AE8B660" w:rsidR="00873466" w:rsidRDefault="00873466" w:rsidP="00BB5D98">
      <w:pPr>
        <w:jc w:val="both"/>
      </w:pPr>
      <w:r>
        <w:t xml:space="preserve">The funds that are mobilized from hydro-power generation would be diverted to the communities who would manage the biodiversity in the upstream areas. </w:t>
      </w:r>
      <w:proofErr w:type="gramStart"/>
      <w:r>
        <w:t>Thus</w:t>
      </w:r>
      <w:proofErr w:type="gramEnd"/>
      <w:r>
        <w:t xml:space="preserve"> a PES mechanism in the power generation sector is of beneficial to the nation not only with better management of the biodiversity, but also with its positive impact on the living standards of the communities, improved business performance of the MHP operators and, reduced energy cost to the economy.</w:t>
      </w:r>
    </w:p>
    <w:p w14:paraId="42B6B9B7" w14:textId="2BB8A9CB" w:rsidR="00E26FDB" w:rsidRDefault="00E26FDB" w:rsidP="00BB5D98">
      <w:pPr>
        <w:jc w:val="both"/>
      </w:pPr>
      <w:r>
        <w:t>On successful completion of the pilot project with a selected MHP, there is possibility of replicating it across many MHP operators. Since there are more than 150 MHP operators, the replication among many of them would significantly multiply the financial result as well as economic and biodiversity benefit</w:t>
      </w:r>
      <w:r w:rsidR="00026EBA">
        <w:t>s</w:t>
      </w:r>
      <w:r>
        <w:t xml:space="preserve"> of the proposal.</w:t>
      </w:r>
    </w:p>
    <w:p w14:paraId="73F260F9" w14:textId="77777777" w:rsidR="008172CE" w:rsidRDefault="004D30F6" w:rsidP="00BB5D98">
      <w:pPr>
        <w:jc w:val="both"/>
      </w:pPr>
      <w:r>
        <w:t>Action plan</w:t>
      </w:r>
    </w:p>
    <w:tbl>
      <w:tblPr>
        <w:tblStyle w:val="TableGrid"/>
        <w:tblW w:w="0" w:type="auto"/>
        <w:tblLook w:val="04A0" w:firstRow="1" w:lastRow="0" w:firstColumn="1" w:lastColumn="0" w:noHBand="0" w:noVBand="1"/>
      </w:tblPr>
      <w:tblGrid>
        <w:gridCol w:w="2040"/>
        <w:gridCol w:w="2024"/>
        <w:gridCol w:w="1495"/>
        <w:gridCol w:w="494"/>
        <w:gridCol w:w="494"/>
        <w:gridCol w:w="494"/>
        <w:gridCol w:w="494"/>
        <w:gridCol w:w="494"/>
        <w:gridCol w:w="494"/>
        <w:gridCol w:w="494"/>
      </w:tblGrid>
      <w:tr w:rsidR="003F5763" w14:paraId="4EF1DC80" w14:textId="77777777" w:rsidTr="00620DED">
        <w:tc>
          <w:tcPr>
            <w:tcW w:w="2040" w:type="dxa"/>
            <w:vMerge w:val="restart"/>
            <w:vAlign w:val="center"/>
          </w:tcPr>
          <w:p w14:paraId="347F2798" w14:textId="77777777" w:rsidR="004D30F6" w:rsidRPr="00C27851" w:rsidRDefault="004D30F6" w:rsidP="00F22C61">
            <w:pPr>
              <w:jc w:val="center"/>
            </w:pPr>
            <w:r w:rsidRPr="00C27851">
              <w:t>Output</w:t>
            </w:r>
          </w:p>
        </w:tc>
        <w:tc>
          <w:tcPr>
            <w:tcW w:w="2024" w:type="dxa"/>
            <w:vMerge w:val="restart"/>
            <w:vAlign w:val="center"/>
          </w:tcPr>
          <w:p w14:paraId="0D1EC4DE" w14:textId="77777777" w:rsidR="004D30F6" w:rsidRPr="00C27851" w:rsidRDefault="004D30F6" w:rsidP="00F22C61">
            <w:pPr>
              <w:jc w:val="center"/>
            </w:pPr>
            <w:r w:rsidRPr="00C27851">
              <w:t>Main activities</w:t>
            </w:r>
          </w:p>
        </w:tc>
        <w:tc>
          <w:tcPr>
            <w:tcW w:w="1495" w:type="dxa"/>
            <w:vMerge w:val="restart"/>
            <w:vAlign w:val="center"/>
          </w:tcPr>
          <w:p w14:paraId="70733989" w14:textId="77777777" w:rsidR="004D30F6" w:rsidRPr="00C27851" w:rsidRDefault="004D30F6" w:rsidP="00F22C61">
            <w:pPr>
              <w:jc w:val="center"/>
            </w:pPr>
            <w:r w:rsidRPr="00C27851">
              <w:t>Responsibility</w:t>
            </w:r>
          </w:p>
        </w:tc>
        <w:tc>
          <w:tcPr>
            <w:tcW w:w="3458" w:type="dxa"/>
            <w:gridSpan w:val="7"/>
            <w:vAlign w:val="center"/>
          </w:tcPr>
          <w:p w14:paraId="0F732227" w14:textId="77777777" w:rsidR="004D30F6" w:rsidRPr="00C27851" w:rsidRDefault="004D30F6" w:rsidP="00F22C61">
            <w:pPr>
              <w:jc w:val="center"/>
            </w:pPr>
            <w:r w:rsidRPr="00C27851">
              <w:t>Year</w:t>
            </w:r>
          </w:p>
        </w:tc>
      </w:tr>
      <w:tr w:rsidR="003F5763" w14:paraId="558B1C62" w14:textId="77777777" w:rsidTr="00620DED">
        <w:tc>
          <w:tcPr>
            <w:tcW w:w="2040" w:type="dxa"/>
            <w:vMerge/>
            <w:vAlign w:val="center"/>
          </w:tcPr>
          <w:p w14:paraId="2FA50C64" w14:textId="77777777" w:rsidR="004D30F6" w:rsidRDefault="004D30F6" w:rsidP="00F22C61">
            <w:pPr>
              <w:jc w:val="center"/>
            </w:pPr>
          </w:p>
        </w:tc>
        <w:tc>
          <w:tcPr>
            <w:tcW w:w="2024" w:type="dxa"/>
            <w:vMerge/>
            <w:vAlign w:val="center"/>
          </w:tcPr>
          <w:p w14:paraId="69D935C3" w14:textId="77777777" w:rsidR="004D30F6" w:rsidRDefault="004D30F6" w:rsidP="00F22C61">
            <w:pPr>
              <w:jc w:val="center"/>
            </w:pPr>
          </w:p>
        </w:tc>
        <w:tc>
          <w:tcPr>
            <w:tcW w:w="1495" w:type="dxa"/>
            <w:vMerge/>
            <w:vAlign w:val="center"/>
          </w:tcPr>
          <w:p w14:paraId="4CF06716" w14:textId="77777777" w:rsidR="004D30F6" w:rsidRDefault="004D30F6" w:rsidP="00F22C61">
            <w:pPr>
              <w:jc w:val="center"/>
            </w:pPr>
          </w:p>
        </w:tc>
        <w:tc>
          <w:tcPr>
            <w:tcW w:w="494" w:type="dxa"/>
            <w:vAlign w:val="center"/>
          </w:tcPr>
          <w:p w14:paraId="3DAF8A63" w14:textId="77777777" w:rsidR="004D30F6" w:rsidRDefault="004D30F6" w:rsidP="00F22C61">
            <w:pPr>
              <w:jc w:val="center"/>
            </w:pPr>
            <w:r w:rsidRPr="00C27851">
              <w:t>‘18</w:t>
            </w:r>
          </w:p>
        </w:tc>
        <w:tc>
          <w:tcPr>
            <w:tcW w:w="494" w:type="dxa"/>
            <w:vAlign w:val="center"/>
          </w:tcPr>
          <w:p w14:paraId="125CD82D" w14:textId="77777777" w:rsidR="004D30F6" w:rsidRDefault="004D30F6" w:rsidP="00F22C61">
            <w:pPr>
              <w:jc w:val="center"/>
            </w:pPr>
            <w:r w:rsidRPr="00C27851">
              <w:t>‘19</w:t>
            </w:r>
          </w:p>
        </w:tc>
        <w:tc>
          <w:tcPr>
            <w:tcW w:w="494" w:type="dxa"/>
            <w:vAlign w:val="center"/>
          </w:tcPr>
          <w:p w14:paraId="0EDDF285" w14:textId="77777777" w:rsidR="004D30F6" w:rsidRDefault="004D30F6" w:rsidP="00F22C61">
            <w:pPr>
              <w:jc w:val="center"/>
            </w:pPr>
            <w:r w:rsidRPr="00C27851">
              <w:t>‘20</w:t>
            </w:r>
          </w:p>
        </w:tc>
        <w:tc>
          <w:tcPr>
            <w:tcW w:w="494" w:type="dxa"/>
            <w:vAlign w:val="center"/>
          </w:tcPr>
          <w:p w14:paraId="73AD8652" w14:textId="77777777" w:rsidR="004D30F6" w:rsidRDefault="004D30F6" w:rsidP="00F22C61">
            <w:pPr>
              <w:jc w:val="center"/>
            </w:pPr>
            <w:r w:rsidRPr="00C27851">
              <w:t>‘21</w:t>
            </w:r>
          </w:p>
        </w:tc>
        <w:tc>
          <w:tcPr>
            <w:tcW w:w="494" w:type="dxa"/>
            <w:vAlign w:val="center"/>
          </w:tcPr>
          <w:p w14:paraId="6306E5DB" w14:textId="77777777" w:rsidR="004D30F6" w:rsidRDefault="004D30F6" w:rsidP="00F22C61">
            <w:pPr>
              <w:jc w:val="center"/>
            </w:pPr>
            <w:r w:rsidRPr="00C27851">
              <w:t>‘22</w:t>
            </w:r>
          </w:p>
        </w:tc>
        <w:tc>
          <w:tcPr>
            <w:tcW w:w="494" w:type="dxa"/>
            <w:vAlign w:val="center"/>
          </w:tcPr>
          <w:p w14:paraId="1AACFC52" w14:textId="77777777" w:rsidR="004D30F6" w:rsidRDefault="004D30F6" w:rsidP="00F22C61">
            <w:pPr>
              <w:jc w:val="center"/>
            </w:pPr>
            <w:r w:rsidRPr="00C27851">
              <w:t>‘23</w:t>
            </w:r>
          </w:p>
        </w:tc>
        <w:tc>
          <w:tcPr>
            <w:tcW w:w="494" w:type="dxa"/>
            <w:vAlign w:val="center"/>
          </w:tcPr>
          <w:p w14:paraId="79588FA1" w14:textId="77777777" w:rsidR="004D30F6" w:rsidRDefault="004D30F6" w:rsidP="00F22C61">
            <w:pPr>
              <w:jc w:val="center"/>
            </w:pPr>
            <w:r w:rsidRPr="00C27851">
              <w:t>‘24</w:t>
            </w:r>
          </w:p>
        </w:tc>
      </w:tr>
      <w:tr w:rsidR="003F5763" w14:paraId="707AF0BD" w14:textId="77777777" w:rsidTr="00B6260F">
        <w:trPr>
          <w:trHeight w:val="410"/>
        </w:trPr>
        <w:tc>
          <w:tcPr>
            <w:tcW w:w="2040" w:type="dxa"/>
            <w:vAlign w:val="center"/>
          </w:tcPr>
          <w:p w14:paraId="54CCB00B" w14:textId="77777777" w:rsidR="004D30F6" w:rsidRDefault="004D30F6" w:rsidP="00F22C61">
            <w:r>
              <w:t>PHASE 1</w:t>
            </w:r>
          </w:p>
        </w:tc>
        <w:tc>
          <w:tcPr>
            <w:tcW w:w="2024" w:type="dxa"/>
            <w:vAlign w:val="center"/>
          </w:tcPr>
          <w:p w14:paraId="4B8A8B09" w14:textId="77777777" w:rsidR="004D30F6" w:rsidRDefault="004D30F6" w:rsidP="00F22C61"/>
        </w:tc>
        <w:tc>
          <w:tcPr>
            <w:tcW w:w="1495" w:type="dxa"/>
            <w:vAlign w:val="center"/>
          </w:tcPr>
          <w:p w14:paraId="1D04A779" w14:textId="77777777" w:rsidR="004D30F6" w:rsidRDefault="004D30F6" w:rsidP="00F22C61"/>
        </w:tc>
        <w:tc>
          <w:tcPr>
            <w:tcW w:w="494" w:type="dxa"/>
            <w:shd w:val="clear" w:color="auto" w:fill="FFFFFF" w:themeFill="background1"/>
            <w:vAlign w:val="center"/>
          </w:tcPr>
          <w:p w14:paraId="56998035" w14:textId="77777777" w:rsidR="004D30F6" w:rsidRDefault="004D30F6" w:rsidP="00F22C61">
            <w:pPr>
              <w:jc w:val="center"/>
            </w:pPr>
          </w:p>
        </w:tc>
        <w:tc>
          <w:tcPr>
            <w:tcW w:w="494" w:type="dxa"/>
            <w:vAlign w:val="center"/>
          </w:tcPr>
          <w:p w14:paraId="59D85462" w14:textId="77777777" w:rsidR="004D30F6" w:rsidRDefault="004D30F6" w:rsidP="00F22C61">
            <w:pPr>
              <w:jc w:val="center"/>
            </w:pPr>
          </w:p>
        </w:tc>
        <w:tc>
          <w:tcPr>
            <w:tcW w:w="494" w:type="dxa"/>
            <w:vAlign w:val="center"/>
          </w:tcPr>
          <w:p w14:paraId="5B2A195A" w14:textId="77777777" w:rsidR="004D30F6" w:rsidRDefault="004D30F6" w:rsidP="00F22C61">
            <w:pPr>
              <w:jc w:val="center"/>
            </w:pPr>
          </w:p>
        </w:tc>
        <w:tc>
          <w:tcPr>
            <w:tcW w:w="494" w:type="dxa"/>
            <w:vAlign w:val="center"/>
          </w:tcPr>
          <w:p w14:paraId="791B8528" w14:textId="77777777" w:rsidR="004D30F6" w:rsidRDefault="004D30F6" w:rsidP="00F22C61">
            <w:pPr>
              <w:jc w:val="center"/>
            </w:pPr>
          </w:p>
        </w:tc>
        <w:tc>
          <w:tcPr>
            <w:tcW w:w="494" w:type="dxa"/>
            <w:vAlign w:val="center"/>
          </w:tcPr>
          <w:p w14:paraId="2FD04C37" w14:textId="77777777" w:rsidR="004D30F6" w:rsidRDefault="004D30F6" w:rsidP="00F22C61">
            <w:pPr>
              <w:jc w:val="center"/>
            </w:pPr>
          </w:p>
        </w:tc>
        <w:tc>
          <w:tcPr>
            <w:tcW w:w="494" w:type="dxa"/>
            <w:vAlign w:val="center"/>
          </w:tcPr>
          <w:p w14:paraId="6508970C" w14:textId="77777777" w:rsidR="004D30F6" w:rsidRDefault="004D30F6" w:rsidP="00F22C61">
            <w:pPr>
              <w:jc w:val="center"/>
            </w:pPr>
          </w:p>
        </w:tc>
        <w:tc>
          <w:tcPr>
            <w:tcW w:w="494" w:type="dxa"/>
            <w:vAlign w:val="center"/>
          </w:tcPr>
          <w:p w14:paraId="159782A0" w14:textId="77777777" w:rsidR="004D30F6" w:rsidRDefault="004D30F6" w:rsidP="00F22C61">
            <w:pPr>
              <w:jc w:val="center"/>
            </w:pPr>
          </w:p>
        </w:tc>
      </w:tr>
      <w:tr w:rsidR="00506A28" w14:paraId="77C7F478" w14:textId="77777777" w:rsidTr="00C34C15">
        <w:tc>
          <w:tcPr>
            <w:tcW w:w="2040" w:type="dxa"/>
            <w:vMerge w:val="restart"/>
            <w:vAlign w:val="center"/>
          </w:tcPr>
          <w:p w14:paraId="051A7209" w14:textId="77777777" w:rsidR="00506A28" w:rsidRDefault="003C1649" w:rsidP="001953E6">
            <w:r>
              <w:t xml:space="preserve">Completion of a </w:t>
            </w:r>
            <w:r w:rsidR="00506A28">
              <w:t>PES scheme</w:t>
            </w:r>
          </w:p>
        </w:tc>
        <w:tc>
          <w:tcPr>
            <w:tcW w:w="2024" w:type="dxa"/>
            <w:vAlign w:val="center"/>
          </w:tcPr>
          <w:p w14:paraId="629582E2" w14:textId="5CC7116F" w:rsidR="00506A28" w:rsidRDefault="00506A28" w:rsidP="00F22C61">
            <w:r>
              <w:t xml:space="preserve">Assessment of the relevant ecosystems and </w:t>
            </w:r>
            <w:r w:rsidR="00994040">
              <w:t>drivers of loss</w:t>
            </w:r>
          </w:p>
        </w:tc>
        <w:tc>
          <w:tcPr>
            <w:tcW w:w="1495" w:type="dxa"/>
            <w:vAlign w:val="center"/>
          </w:tcPr>
          <w:p w14:paraId="1CCAFA1C" w14:textId="77777777" w:rsidR="00506A28" w:rsidRDefault="002A3B0F" w:rsidP="00F22C61">
            <w:r>
              <w:t>IUCN</w:t>
            </w:r>
          </w:p>
        </w:tc>
        <w:tc>
          <w:tcPr>
            <w:tcW w:w="494" w:type="dxa"/>
            <w:shd w:val="clear" w:color="auto" w:fill="A6A6A6" w:themeFill="background1" w:themeFillShade="A6"/>
            <w:vAlign w:val="center"/>
          </w:tcPr>
          <w:p w14:paraId="31E9CE21" w14:textId="77777777" w:rsidR="00506A28" w:rsidRDefault="00506A28" w:rsidP="00F22C61">
            <w:pPr>
              <w:jc w:val="center"/>
            </w:pPr>
          </w:p>
        </w:tc>
        <w:tc>
          <w:tcPr>
            <w:tcW w:w="494" w:type="dxa"/>
            <w:shd w:val="clear" w:color="auto" w:fill="FFFFFF" w:themeFill="background1"/>
            <w:vAlign w:val="center"/>
          </w:tcPr>
          <w:p w14:paraId="7195862D" w14:textId="77777777" w:rsidR="00506A28" w:rsidRDefault="00506A28" w:rsidP="00F22C61">
            <w:pPr>
              <w:jc w:val="center"/>
            </w:pPr>
          </w:p>
        </w:tc>
        <w:tc>
          <w:tcPr>
            <w:tcW w:w="494" w:type="dxa"/>
            <w:vAlign w:val="center"/>
          </w:tcPr>
          <w:p w14:paraId="10496369" w14:textId="77777777" w:rsidR="00506A28" w:rsidRDefault="00506A28" w:rsidP="00F22C61">
            <w:pPr>
              <w:jc w:val="center"/>
            </w:pPr>
          </w:p>
        </w:tc>
        <w:tc>
          <w:tcPr>
            <w:tcW w:w="494" w:type="dxa"/>
            <w:vAlign w:val="center"/>
          </w:tcPr>
          <w:p w14:paraId="6A777EBF" w14:textId="77777777" w:rsidR="00506A28" w:rsidRDefault="00506A28" w:rsidP="00F22C61">
            <w:pPr>
              <w:jc w:val="center"/>
            </w:pPr>
          </w:p>
        </w:tc>
        <w:tc>
          <w:tcPr>
            <w:tcW w:w="494" w:type="dxa"/>
            <w:vAlign w:val="center"/>
          </w:tcPr>
          <w:p w14:paraId="054649CB" w14:textId="77777777" w:rsidR="00506A28" w:rsidRDefault="00506A28" w:rsidP="00F22C61">
            <w:pPr>
              <w:jc w:val="center"/>
            </w:pPr>
          </w:p>
        </w:tc>
        <w:tc>
          <w:tcPr>
            <w:tcW w:w="494" w:type="dxa"/>
            <w:vAlign w:val="center"/>
          </w:tcPr>
          <w:p w14:paraId="7489B381" w14:textId="77777777" w:rsidR="00506A28" w:rsidRDefault="00506A28" w:rsidP="00F22C61">
            <w:pPr>
              <w:jc w:val="center"/>
            </w:pPr>
          </w:p>
        </w:tc>
        <w:tc>
          <w:tcPr>
            <w:tcW w:w="494" w:type="dxa"/>
            <w:vAlign w:val="center"/>
          </w:tcPr>
          <w:p w14:paraId="61B855FF" w14:textId="77777777" w:rsidR="00506A28" w:rsidRDefault="00506A28" w:rsidP="00F22C61">
            <w:pPr>
              <w:jc w:val="center"/>
            </w:pPr>
          </w:p>
        </w:tc>
      </w:tr>
      <w:tr w:rsidR="00506A28" w14:paraId="62A8BF62" w14:textId="77777777" w:rsidTr="00C34C15">
        <w:tc>
          <w:tcPr>
            <w:tcW w:w="2040" w:type="dxa"/>
            <w:vMerge/>
            <w:vAlign w:val="center"/>
          </w:tcPr>
          <w:p w14:paraId="4CFAA1D2" w14:textId="77777777" w:rsidR="00506A28" w:rsidRDefault="00506A28" w:rsidP="00F22C61"/>
        </w:tc>
        <w:tc>
          <w:tcPr>
            <w:tcW w:w="2024" w:type="dxa"/>
            <w:vAlign w:val="center"/>
          </w:tcPr>
          <w:p w14:paraId="461EC370" w14:textId="77777777" w:rsidR="00506A28" w:rsidRDefault="00506A28" w:rsidP="00F22C61">
            <w:r w:rsidRPr="003F5763">
              <w:t>Identifying buyers and sellers</w:t>
            </w:r>
          </w:p>
        </w:tc>
        <w:tc>
          <w:tcPr>
            <w:tcW w:w="1495" w:type="dxa"/>
            <w:vAlign w:val="center"/>
          </w:tcPr>
          <w:p w14:paraId="253C8AD6" w14:textId="77777777" w:rsidR="00506A28" w:rsidRDefault="002A3B0F" w:rsidP="00F22C61">
            <w:r w:rsidRPr="002A3B0F">
              <w:t>IUCN</w:t>
            </w:r>
          </w:p>
        </w:tc>
        <w:tc>
          <w:tcPr>
            <w:tcW w:w="494" w:type="dxa"/>
            <w:shd w:val="clear" w:color="auto" w:fill="A6A6A6" w:themeFill="background1" w:themeFillShade="A6"/>
            <w:vAlign w:val="center"/>
          </w:tcPr>
          <w:p w14:paraId="1EA703D8" w14:textId="77777777" w:rsidR="00506A28" w:rsidRDefault="00506A28" w:rsidP="00F22C61">
            <w:pPr>
              <w:jc w:val="center"/>
            </w:pPr>
          </w:p>
        </w:tc>
        <w:tc>
          <w:tcPr>
            <w:tcW w:w="494" w:type="dxa"/>
            <w:shd w:val="clear" w:color="auto" w:fill="FFFFFF" w:themeFill="background1"/>
            <w:vAlign w:val="center"/>
          </w:tcPr>
          <w:p w14:paraId="084B2F9E" w14:textId="77777777" w:rsidR="00506A28" w:rsidRDefault="00506A28" w:rsidP="00F22C61">
            <w:pPr>
              <w:jc w:val="center"/>
            </w:pPr>
          </w:p>
        </w:tc>
        <w:tc>
          <w:tcPr>
            <w:tcW w:w="494" w:type="dxa"/>
            <w:shd w:val="clear" w:color="auto" w:fill="FFFFFF" w:themeFill="background1"/>
            <w:vAlign w:val="center"/>
          </w:tcPr>
          <w:p w14:paraId="476E7213" w14:textId="77777777" w:rsidR="00506A28" w:rsidRDefault="00506A28" w:rsidP="00F22C61">
            <w:pPr>
              <w:jc w:val="center"/>
            </w:pPr>
          </w:p>
        </w:tc>
        <w:tc>
          <w:tcPr>
            <w:tcW w:w="494" w:type="dxa"/>
            <w:shd w:val="clear" w:color="auto" w:fill="FFFFFF" w:themeFill="background1"/>
            <w:vAlign w:val="center"/>
          </w:tcPr>
          <w:p w14:paraId="731B2D26" w14:textId="77777777" w:rsidR="00506A28" w:rsidRDefault="00506A28" w:rsidP="00F22C61">
            <w:pPr>
              <w:jc w:val="center"/>
            </w:pPr>
          </w:p>
        </w:tc>
        <w:tc>
          <w:tcPr>
            <w:tcW w:w="494" w:type="dxa"/>
            <w:vAlign w:val="center"/>
          </w:tcPr>
          <w:p w14:paraId="749FFA5F" w14:textId="77777777" w:rsidR="00506A28" w:rsidRDefault="00506A28" w:rsidP="00F22C61">
            <w:pPr>
              <w:jc w:val="center"/>
            </w:pPr>
          </w:p>
        </w:tc>
        <w:tc>
          <w:tcPr>
            <w:tcW w:w="494" w:type="dxa"/>
            <w:vAlign w:val="center"/>
          </w:tcPr>
          <w:p w14:paraId="3854FA2F" w14:textId="77777777" w:rsidR="00506A28" w:rsidRDefault="00506A28" w:rsidP="00F22C61">
            <w:pPr>
              <w:jc w:val="center"/>
            </w:pPr>
          </w:p>
        </w:tc>
        <w:tc>
          <w:tcPr>
            <w:tcW w:w="494" w:type="dxa"/>
            <w:vAlign w:val="center"/>
          </w:tcPr>
          <w:p w14:paraId="2F0EB7AA" w14:textId="77777777" w:rsidR="00506A28" w:rsidRDefault="00506A28" w:rsidP="00F22C61">
            <w:pPr>
              <w:jc w:val="center"/>
            </w:pPr>
          </w:p>
        </w:tc>
      </w:tr>
      <w:tr w:rsidR="00506A28" w14:paraId="5BDF8AF6" w14:textId="77777777" w:rsidTr="00C34C15">
        <w:tc>
          <w:tcPr>
            <w:tcW w:w="2040" w:type="dxa"/>
            <w:vMerge/>
            <w:vAlign w:val="center"/>
          </w:tcPr>
          <w:p w14:paraId="7EC30F81" w14:textId="77777777" w:rsidR="00506A28" w:rsidRDefault="00506A28" w:rsidP="00F22C61"/>
        </w:tc>
        <w:tc>
          <w:tcPr>
            <w:tcW w:w="2024" w:type="dxa"/>
            <w:vAlign w:val="center"/>
          </w:tcPr>
          <w:p w14:paraId="1C36C033" w14:textId="77777777" w:rsidR="00506A28" w:rsidRDefault="00506A28" w:rsidP="00F22C61">
            <w:r>
              <w:t>Negotiations and entering into agreements</w:t>
            </w:r>
          </w:p>
        </w:tc>
        <w:tc>
          <w:tcPr>
            <w:tcW w:w="1495" w:type="dxa"/>
            <w:vAlign w:val="center"/>
          </w:tcPr>
          <w:p w14:paraId="7B783393" w14:textId="77777777" w:rsidR="00506A28" w:rsidRDefault="002A3B0F" w:rsidP="00F22C61">
            <w:r w:rsidRPr="002A3B0F">
              <w:t>IUCN</w:t>
            </w:r>
          </w:p>
        </w:tc>
        <w:tc>
          <w:tcPr>
            <w:tcW w:w="494" w:type="dxa"/>
            <w:shd w:val="clear" w:color="auto" w:fill="A6A6A6" w:themeFill="background1" w:themeFillShade="A6"/>
            <w:vAlign w:val="center"/>
          </w:tcPr>
          <w:p w14:paraId="4D5F8071" w14:textId="77777777" w:rsidR="00506A28" w:rsidRDefault="00506A28" w:rsidP="00F22C61">
            <w:pPr>
              <w:jc w:val="center"/>
            </w:pPr>
          </w:p>
        </w:tc>
        <w:tc>
          <w:tcPr>
            <w:tcW w:w="494" w:type="dxa"/>
            <w:shd w:val="clear" w:color="auto" w:fill="FFFFFF" w:themeFill="background1"/>
            <w:vAlign w:val="center"/>
          </w:tcPr>
          <w:p w14:paraId="63CF5A92" w14:textId="77777777" w:rsidR="00506A28" w:rsidRDefault="00506A28" w:rsidP="00F22C61">
            <w:pPr>
              <w:jc w:val="center"/>
            </w:pPr>
          </w:p>
        </w:tc>
        <w:tc>
          <w:tcPr>
            <w:tcW w:w="494" w:type="dxa"/>
            <w:shd w:val="clear" w:color="auto" w:fill="FFFFFF" w:themeFill="background1"/>
            <w:vAlign w:val="center"/>
          </w:tcPr>
          <w:p w14:paraId="24D285FB" w14:textId="77777777" w:rsidR="00506A28" w:rsidRDefault="00506A28" w:rsidP="00F22C61">
            <w:pPr>
              <w:jc w:val="center"/>
            </w:pPr>
          </w:p>
        </w:tc>
        <w:tc>
          <w:tcPr>
            <w:tcW w:w="494" w:type="dxa"/>
            <w:shd w:val="clear" w:color="auto" w:fill="FFFFFF" w:themeFill="background1"/>
            <w:vAlign w:val="center"/>
          </w:tcPr>
          <w:p w14:paraId="3B6ABA16" w14:textId="77777777" w:rsidR="00506A28" w:rsidRDefault="00506A28" w:rsidP="00F22C61">
            <w:pPr>
              <w:jc w:val="center"/>
            </w:pPr>
          </w:p>
        </w:tc>
        <w:tc>
          <w:tcPr>
            <w:tcW w:w="494" w:type="dxa"/>
            <w:vAlign w:val="center"/>
          </w:tcPr>
          <w:p w14:paraId="0871B7E9" w14:textId="77777777" w:rsidR="00506A28" w:rsidRDefault="00506A28" w:rsidP="00F22C61">
            <w:pPr>
              <w:jc w:val="center"/>
            </w:pPr>
          </w:p>
        </w:tc>
        <w:tc>
          <w:tcPr>
            <w:tcW w:w="494" w:type="dxa"/>
            <w:vAlign w:val="center"/>
          </w:tcPr>
          <w:p w14:paraId="0DA917ED" w14:textId="77777777" w:rsidR="00506A28" w:rsidRDefault="00506A28" w:rsidP="00F22C61">
            <w:pPr>
              <w:jc w:val="center"/>
            </w:pPr>
          </w:p>
        </w:tc>
        <w:tc>
          <w:tcPr>
            <w:tcW w:w="494" w:type="dxa"/>
            <w:vAlign w:val="center"/>
          </w:tcPr>
          <w:p w14:paraId="2B078E01" w14:textId="77777777" w:rsidR="00506A28" w:rsidRDefault="00506A28" w:rsidP="00F22C61">
            <w:pPr>
              <w:jc w:val="center"/>
            </w:pPr>
          </w:p>
        </w:tc>
      </w:tr>
      <w:tr w:rsidR="00506A28" w14:paraId="0CCF68D8" w14:textId="77777777" w:rsidTr="00C34C15">
        <w:tc>
          <w:tcPr>
            <w:tcW w:w="2040" w:type="dxa"/>
            <w:vMerge/>
            <w:vAlign w:val="center"/>
          </w:tcPr>
          <w:p w14:paraId="29E2EDF7" w14:textId="77777777" w:rsidR="00506A28" w:rsidRDefault="00506A28" w:rsidP="00F22C61"/>
        </w:tc>
        <w:tc>
          <w:tcPr>
            <w:tcW w:w="2024" w:type="dxa"/>
            <w:vAlign w:val="center"/>
          </w:tcPr>
          <w:p w14:paraId="01CFD41B" w14:textId="77777777" w:rsidR="00506A28" w:rsidRDefault="00506A28" w:rsidP="00F22C61">
            <w:r>
              <w:t>Designing the PES mechanism</w:t>
            </w:r>
          </w:p>
        </w:tc>
        <w:tc>
          <w:tcPr>
            <w:tcW w:w="1495" w:type="dxa"/>
            <w:vAlign w:val="center"/>
          </w:tcPr>
          <w:p w14:paraId="1D08CC34" w14:textId="77777777" w:rsidR="00506A28" w:rsidRDefault="002A3B0F" w:rsidP="00F22C61">
            <w:r w:rsidRPr="002A3B0F">
              <w:t>IUCN</w:t>
            </w:r>
          </w:p>
        </w:tc>
        <w:tc>
          <w:tcPr>
            <w:tcW w:w="494" w:type="dxa"/>
            <w:shd w:val="clear" w:color="auto" w:fill="A6A6A6" w:themeFill="background1" w:themeFillShade="A6"/>
            <w:vAlign w:val="center"/>
          </w:tcPr>
          <w:p w14:paraId="758EA9CD" w14:textId="77777777" w:rsidR="00506A28" w:rsidRDefault="00506A28" w:rsidP="00F22C61">
            <w:pPr>
              <w:jc w:val="center"/>
            </w:pPr>
          </w:p>
        </w:tc>
        <w:tc>
          <w:tcPr>
            <w:tcW w:w="494" w:type="dxa"/>
            <w:vAlign w:val="center"/>
          </w:tcPr>
          <w:p w14:paraId="7D15162E" w14:textId="77777777" w:rsidR="00506A28" w:rsidRDefault="00506A28" w:rsidP="00F22C61">
            <w:pPr>
              <w:jc w:val="center"/>
            </w:pPr>
          </w:p>
        </w:tc>
        <w:tc>
          <w:tcPr>
            <w:tcW w:w="494" w:type="dxa"/>
            <w:vAlign w:val="center"/>
          </w:tcPr>
          <w:p w14:paraId="2D00D487" w14:textId="77777777" w:rsidR="00506A28" w:rsidRDefault="00506A28" w:rsidP="00F22C61">
            <w:pPr>
              <w:jc w:val="center"/>
            </w:pPr>
          </w:p>
        </w:tc>
        <w:tc>
          <w:tcPr>
            <w:tcW w:w="494" w:type="dxa"/>
            <w:vAlign w:val="center"/>
          </w:tcPr>
          <w:p w14:paraId="13E61597" w14:textId="77777777" w:rsidR="00506A28" w:rsidRDefault="00506A28" w:rsidP="00F22C61">
            <w:pPr>
              <w:jc w:val="center"/>
            </w:pPr>
          </w:p>
        </w:tc>
        <w:tc>
          <w:tcPr>
            <w:tcW w:w="494" w:type="dxa"/>
            <w:vAlign w:val="center"/>
          </w:tcPr>
          <w:p w14:paraId="7CD6ED76" w14:textId="77777777" w:rsidR="00506A28" w:rsidRDefault="00506A28" w:rsidP="00F22C61">
            <w:pPr>
              <w:jc w:val="center"/>
            </w:pPr>
          </w:p>
        </w:tc>
        <w:tc>
          <w:tcPr>
            <w:tcW w:w="494" w:type="dxa"/>
            <w:vAlign w:val="center"/>
          </w:tcPr>
          <w:p w14:paraId="5C60BD21" w14:textId="77777777" w:rsidR="00506A28" w:rsidRDefault="00506A28" w:rsidP="00F22C61">
            <w:pPr>
              <w:jc w:val="center"/>
            </w:pPr>
          </w:p>
        </w:tc>
        <w:tc>
          <w:tcPr>
            <w:tcW w:w="494" w:type="dxa"/>
            <w:vAlign w:val="center"/>
          </w:tcPr>
          <w:p w14:paraId="06447F2C" w14:textId="77777777" w:rsidR="00506A28" w:rsidRDefault="00506A28" w:rsidP="00F22C61">
            <w:pPr>
              <w:jc w:val="center"/>
            </w:pPr>
          </w:p>
        </w:tc>
      </w:tr>
      <w:tr w:rsidR="00506A28" w14:paraId="2FF34689" w14:textId="77777777" w:rsidTr="00506A28">
        <w:tc>
          <w:tcPr>
            <w:tcW w:w="2040" w:type="dxa"/>
            <w:vMerge/>
            <w:vAlign w:val="center"/>
          </w:tcPr>
          <w:p w14:paraId="0BF5E03E" w14:textId="77777777" w:rsidR="00506A28" w:rsidRDefault="00506A28" w:rsidP="00F22C61"/>
        </w:tc>
        <w:tc>
          <w:tcPr>
            <w:tcW w:w="2024" w:type="dxa"/>
            <w:vAlign w:val="center"/>
          </w:tcPr>
          <w:p w14:paraId="72A85FB8" w14:textId="77777777" w:rsidR="00506A28" w:rsidRDefault="00506A28" w:rsidP="00F22C61">
            <w:r>
              <w:t>Institutional and policy analysis</w:t>
            </w:r>
          </w:p>
        </w:tc>
        <w:tc>
          <w:tcPr>
            <w:tcW w:w="1495" w:type="dxa"/>
            <w:vAlign w:val="center"/>
          </w:tcPr>
          <w:p w14:paraId="406D14B3" w14:textId="77777777" w:rsidR="00506A28" w:rsidRDefault="002A3B0F" w:rsidP="00F22C61">
            <w:r w:rsidRPr="002A3B0F">
              <w:t>IUCN</w:t>
            </w:r>
          </w:p>
        </w:tc>
        <w:tc>
          <w:tcPr>
            <w:tcW w:w="494" w:type="dxa"/>
            <w:shd w:val="clear" w:color="auto" w:fill="A6A6A6" w:themeFill="background1" w:themeFillShade="A6"/>
            <w:vAlign w:val="center"/>
          </w:tcPr>
          <w:p w14:paraId="33BFDE6F" w14:textId="77777777" w:rsidR="00506A28" w:rsidRDefault="00506A28" w:rsidP="00F22C61">
            <w:pPr>
              <w:jc w:val="center"/>
            </w:pPr>
          </w:p>
        </w:tc>
        <w:tc>
          <w:tcPr>
            <w:tcW w:w="494" w:type="dxa"/>
            <w:shd w:val="clear" w:color="auto" w:fill="A6A6A6" w:themeFill="background1" w:themeFillShade="A6"/>
            <w:vAlign w:val="center"/>
          </w:tcPr>
          <w:p w14:paraId="62C52622" w14:textId="77777777" w:rsidR="00506A28" w:rsidRDefault="00506A28" w:rsidP="00F22C61">
            <w:pPr>
              <w:jc w:val="center"/>
            </w:pPr>
          </w:p>
        </w:tc>
        <w:tc>
          <w:tcPr>
            <w:tcW w:w="494" w:type="dxa"/>
            <w:vAlign w:val="center"/>
          </w:tcPr>
          <w:p w14:paraId="4054D013" w14:textId="77777777" w:rsidR="00506A28" w:rsidRDefault="00506A28" w:rsidP="00F22C61">
            <w:pPr>
              <w:jc w:val="center"/>
            </w:pPr>
          </w:p>
        </w:tc>
        <w:tc>
          <w:tcPr>
            <w:tcW w:w="494" w:type="dxa"/>
            <w:vAlign w:val="center"/>
          </w:tcPr>
          <w:p w14:paraId="10BF4E0F" w14:textId="77777777" w:rsidR="00506A28" w:rsidRDefault="00506A28" w:rsidP="00F22C61">
            <w:pPr>
              <w:jc w:val="center"/>
            </w:pPr>
          </w:p>
        </w:tc>
        <w:tc>
          <w:tcPr>
            <w:tcW w:w="494" w:type="dxa"/>
            <w:vAlign w:val="center"/>
          </w:tcPr>
          <w:p w14:paraId="1622512C" w14:textId="77777777" w:rsidR="00506A28" w:rsidRDefault="00506A28" w:rsidP="00F22C61">
            <w:pPr>
              <w:jc w:val="center"/>
            </w:pPr>
          </w:p>
        </w:tc>
        <w:tc>
          <w:tcPr>
            <w:tcW w:w="494" w:type="dxa"/>
            <w:vAlign w:val="center"/>
          </w:tcPr>
          <w:p w14:paraId="3D90AF8B" w14:textId="77777777" w:rsidR="00506A28" w:rsidRDefault="00506A28" w:rsidP="00F22C61">
            <w:pPr>
              <w:jc w:val="center"/>
            </w:pPr>
          </w:p>
        </w:tc>
        <w:tc>
          <w:tcPr>
            <w:tcW w:w="494" w:type="dxa"/>
            <w:vAlign w:val="center"/>
          </w:tcPr>
          <w:p w14:paraId="72AB47ED" w14:textId="77777777" w:rsidR="00506A28" w:rsidRDefault="00506A28" w:rsidP="00F22C61">
            <w:pPr>
              <w:jc w:val="center"/>
            </w:pPr>
          </w:p>
        </w:tc>
      </w:tr>
      <w:tr w:rsidR="00620DED" w14:paraId="42193393" w14:textId="77777777" w:rsidTr="00B6260F">
        <w:trPr>
          <w:trHeight w:val="424"/>
        </w:trPr>
        <w:tc>
          <w:tcPr>
            <w:tcW w:w="2040" w:type="dxa"/>
            <w:vAlign w:val="center"/>
          </w:tcPr>
          <w:p w14:paraId="22E5BDED" w14:textId="77777777" w:rsidR="004D30F6" w:rsidRDefault="003F5763" w:rsidP="00F22C61">
            <w:r>
              <w:t>PHASE 2</w:t>
            </w:r>
          </w:p>
        </w:tc>
        <w:tc>
          <w:tcPr>
            <w:tcW w:w="2024" w:type="dxa"/>
            <w:vAlign w:val="center"/>
          </w:tcPr>
          <w:p w14:paraId="62B403DD" w14:textId="77777777" w:rsidR="004D30F6" w:rsidRDefault="004D30F6" w:rsidP="00F22C61"/>
        </w:tc>
        <w:tc>
          <w:tcPr>
            <w:tcW w:w="1495" w:type="dxa"/>
            <w:vAlign w:val="center"/>
          </w:tcPr>
          <w:p w14:paraId="2F051C2A" w14:textId="77777777" w:rsidR="004D30F6" w:rsidRDefault="004D30F6" w:rsidP="00F22C61"/>
        </w:tc>
        <w:tc>
          <w:tcPr>
            <w:tcW w:w="494" w:type="dxa"/>
            <w:vAlign w:val="center"/>
          </w:tcPr>
          <w:p w14:paraId="721639CB" w14:textId="77777777" w:rsidR="004D30F6" w:rsidRDefault="004D30F6" w:rsidP="00F22C61">
            <w:pPr>
              <w:jc w:val="center"/>
            </w:pPr>
          </w:p>
        </w:tc>
        <w:tc>
          <w:tcPr>
            <w:tcW w:w="494" w:type="dxa"/>
            <w:vAlign w:val="center"/>
          </w:tcPr>
          <w:p w14:paraId="59B405F9" w14:textId="77777777" w:rsidR="004D30F6" w:rsidRDefault="004D30F6" w:rsidP="00F22C61">
            <w:pPr>
              <w:jc w:val="center"/>
            </w:pPr>
          </w:p>
        </w:tc>
        <w:tc>
          <w:tcPr>
            <w:tcW w:w="494" w:type="dxa"/>
            <w:vAlign w:val="center"/>
          </w:tcPr>
          <w:p w14:paraId="6A560A94" w14:textId="77777777" w:rsidR="004D30F6" w:rsidRDefault="004D30F6" w:rsidP="00F22C61">
            <w:pPr>
              <w:jc w:val="center"/>
            </w:pPr>
          </w:p>
        </w:tc>
        <w:tc>
          <w:tcPr>
            <w:tcW w:w="494" w:type="dxa"/>
            <w:vAlign w:val="center"/>
          </w:tcPr>
          <w:p w14:paraId="01E0C9E7" w14:textId="77777777" w:rsidR="004D30F6" w:rsidRDefault="004D30F6" w:rsidP="00F22C61">
            <w:pPr>
              <w:jc w:val="center"/>
            </w:pPr>
          </w:p>
        </w:tc>
        <w:tc>
          <w:tcPr>
            <w:tcW w:w="494" w:type="dxa"/>
            <w:vAlign w:val="center"/>
          </w:tcPr>
          <w:p w14:paraId="27AE593E" w14:textId="77777777" w:rsidR="004D30F6" w:rsidRDefault="004D30F6" w:rsidP="00F22C61">
            <w:pPr>
              <w:jc w:val="center"/>
            </w:pPr>
          </w:p>
        </w:tc>
        <w:tc>
          <w:tcPr>
            <w:tcW w:w="494" w:type="dxa"/>
            <w:vAlign w:val="center"/>
          </w:tcPr>
          <w:p w14:paraId="66A26D73" w14:textId="77777777" w:rsidR="004D30F6" w:rsidRDefault="004D30F6" w:rsidP="00F22C61">
            <w:pPr>
              <w:jc w:val="center"/>
            </w:pPr>
          </w:p>
        </w:tc>
        <w:tc>
          <w:tcPr>
            <w:tcW w:w="494" w:type="dxa"/>
            <w:vAlign w:val="center"/>
          </w:tcPr>
          <w:p w14:paraId="004DC207" w14:textId="77777777" w:rsidR="004D30F6" w:rsidRDefault="004D30F6" w:rsidP="00F22C61">
            <w:pPr>
              <w:jc w:val="center"/>
            </w:pPr>
          </w:p>
        </w:tc>
      </w:tr>
      <w:tr w:rsidR="00C34C15" w14:paraId="43E07A38" w14:textId="77777777" w:rsidTr="00857F55">
        <w:tc>
          <w:tcPr>
            <w:tcW w:w="2040" w:type="dxa"/>
            <w:vMerge w:val="restart"/>
            <w:vAlign w:val="center"/>
          </w:tcPr>
          <w:p w14:paraId="5BDC6E9C" w14:textId="77777777" w:rsidR="00C34C15" w:rsidRDefault="003C1649" w:rsidP="00F22C61">
            <w:r>
              <w:t>Establishment of a PES scheme</w:t>
            </w:r>
          </w:p>
        </w:tc>
        <w:tc>
          <w:tcPr>
            <w:tcW w:w="2024" w:type="dxa"/>
            <w:vAlign w:val="center"/>
          </w:tcPr>
          <w:p w14:paraId="328C4797" w14:textId="77777777" w:rsidR="00C34C15" w:rsidRDefault="00C34C15" w:rsidP="00F22C61">
            <w:r>
              <w:t>Implementing the PES scheme</w:t>
            </w:r>
          </w:p>
        </w:tc>
        <w:tc>
          <w:tcPr>
            <w:tcW w:w="1495" w:type="dxa"/>
            <w:vAlign w:val="center"/>
          </w:tcPr>
          <w:p w14:paraId="4AA33B6E" w14:textId="77777777" w:rsidR="00C34C15" w:rsidRDefault="002A3B0F" w:rsidP="00F22C61">
            <w:r w:rsidRPr="002A3B0F">
              <w:t>IUCN</w:t>
            </w:r>
          </w:p>
        </w:tc>
        <w:tc>
          <w:tcPr>
            <w:tcW w:w="494" w:type="dxa"/>
            <w:vAlign w:val="center"/>
          </w:tcPr>
          <w:p w14:paraId="732BC10D" w14:textId="77777777" w:rsidR="00C34C15" w:rsidRDefault="00C34C15" w:rsidP="00F22C61">
            <w:pPr>
              <w:jc w:val="center"/>
            </w:pPr>
          </w:p>
        </w:tc>
        <w:tc>
          <w:tcPr>
            <w:tcW w:w="494" w:type="dxa"/>
            <w:shd w:val="clear" w:color="auto" w:fill="A6A6A6" w:themeFill="background1" w:themeFillShade="A6"/>
            <w:vAlign w:val="center"/>
          </w:tcPr>
          <w:p w14:paraId="709A049C" w14:textId="77777777" w:rsidR="00C34C15" w:rsidRDefault="00C34C15" w:rsidP="00F22C61">
            <w:pPr>
              <w:jc w:val="center"/>
            </w:pPr>
          </w:p>
        </w:tc>
        <w:tc>
          <w:tcPr>
            <w:tcW w:w="494" w:type="dxa"/>
            <w:shd w:val="clear" w:color="auto" w:fill="A6A6A6" w:themeFill="background1" w:themeFillShade="A6"/>
            <w:vAlign w:val="center"/>
          </w:tcPr>
          <w:p w14:paraId="5FAFBC4C" w14:textId="77777777" w:rsidR="00C34C15" w:rsidRDefault="00C34C15" w:rsidP="00F22C61">
            <w:pPr>
              <w:jc w:val="center"/>
            </w:pPr>
          </w:p>
        </w:tc>
        <w:tc>
          <w:tcPr>
            <w:tcW w:w="494" w:type="dxa"/>
            <w:vAlign w:val="center"/>
          </w:tcPr>
          <w:p w14:paraId="73D7918A" w14:textId="77777777" w:rsidR="00C34C15" w:rsidRDefault="00C34C15" w:rsidP="00F22C61">
            <w:pPr>
              <w:jc w:val="center"/>
            </w:pPr>
          </w:p>
        </w:tc>
        <w:tc>
          <w:tcPr>
            <w:tcW w:w="494" w:type="dxa"/>
            <w:vAlign w:val="center"/>
          </w:tcPr>
          <w:p w14:paraId="2FF7447C" w14:textId="77777777" w:rsidR="00C34C15" w:rsidRDefault="00C34C15" w:rsidP="00F22C61">
            <w:pPr>
              <w:jc w:val="center"/>
            </w:pPr>
          </w:p>
        </w:tc>
        <w:tc>
          <w:tcPr>
            <w:tcW w:w="494" w:type="dxa"/>
            <w:vAlign w:val="center"/>
          </w:tcPr>
          <w:p w14:paraId="3C0B0B82" w14:textId="77777777" w:rsidR="00C34C15" w:rsidRDefault="00C34C15" w:rsidP="00F22C61">
            <w:pPr>
              <w:jc w:val="center"/>
            </w:pPr>
          </w:p>
        </w:tc>
        <w:tc>
          <w:tcPr>
            <w:tcW w:w="494" w:type="dxa"/>
            <w:vAlign w:val="center"/>
          </w:tcPr>
          <w:p w14:paraId="0EC5587D" w14:textId="77777777" w:rsidR="00C34C15" w:rsidRDefault="00C34C15" w:rsidP="00F22C61">
            <w:pPr>
              <w:jc w:val="center"/>
            </w:pPr>
          </w:p>
        </w:tc>
      </w:tr>
      <w:tr w:rsidR="00C34C15" w14:paraId="41B1CB73" w14:textId="77777777" w:rsidTr="00D1573A">
        <w:tc>
          <w:tcPr>
            <w:tcW w:w="2040" w:type="dxa"/>
            <w:vMerge/>
            <w:vAlign w:val="center"/>
          </w:tcPr>
          <w:p w14:paraId="15BD82C6" w14:textId="77777777" w:rsidR="00C34C15" w:rsidRDefault="00C34C15" w:rsidP="00F22C61"/>
        </w:tc>
        <w:tc>
          <w:tcPr>
            <w:tcW w:w="2024" w:type="dxa"/>
            <w:vAlign w:val="center"/>
          </w:tcPr>
          <w:p w14:paraId="224EA3E6" w14:textId="77777777" w:rsidR="00C34C15" w:rsidRDefault="00C34C15" w:rsidP="00F22C61">
            <w:r>
              <w:t>Monitoring and evaluation</w:t>
            </w:r>
          </w:p>
        </w:tc>
        <w:tc>
          <w:tcPr>
            <w:tcW w:w="1495" w:type="dxa"/>
            <w:vAlign w:val="center"/>
          </w:tcPr>
          <w:p w14:paraId="3DF26A59" w14:textId="77777777" w:rsidR="00C34C15" w:rsidRDefault="002A3B0F" w:rsidP="00F22C61">
            <w:r w:rsidRPr="002A3B0F">
              <w:t>IUCN</w:t>
            </w:r>
          </w:p>
        </w:tc>
        <w:tc>
          <w:tcPr>
            <w:tcW w:w="494" w:type="dxa"/>
            <w:vAlign w:val="center"/>
          </w:tcPr>
          <w:p w14:paraId="17E6B03A" w14:textId="77777777" w:rsidR="00C34C15" w:rsidRDefault="00C34C15" w:rsidP="00F22C61">
            <w:pPr>
              <w:jc w:val="center"/>
            </w:pPr>
          </w:p>
        </w:tc>
        <w:tc>
          <w:tcPr>
            <w:tcW w:w="494" w:type="dxa"/>
            <w:shd w:val="clear" w:color="auto" w:fill="A6A6A6" w:themeFill="background1" w:themeFillShade="A6"/>
            <w:vAlign w:val="center"/>
          </w:tcPr>
          <w:p w14:paraId="08035706" w14:textId="77777777" w:rsidR="00C34C15" w:rsidRDefault="00C34C15" w:rsidP="00F22C61">
            <w:pPr>
              <w:jc w:val="center"/>
            </w:pPr>
          </w:p>
        </w:tc>
        <w:tc>
          <w:tcPr>
            <w:tcW w:w="494" w:type="dxa"/>
            <w:shd w:val="clear" w:color="auto" w:fill="A6A6A6" w:themeFill="background1" w:themeFillShade="A6"/>
            <w:vAlign w:val="center"/>
          </w:tcPr>
          <w:p w14:paraId="032E2C44" w14:textId="77777777" w:rsidR="00C34C15" w:rsidRDefault="00C34C15" w:rsidP="00F22C61">
            <w:pPr>
              <w:jc w:val="center"/>
            </w:pPr>
          </w:p>
        </w:tc>
        <w:tc>
          <w:tcPr>
            <w:tcW w:w="494" w:type="dxa"/>
            <w:shd w:val="clear" w:color="auto" w:fill="A6A6A6" w:themeFill="background1" w:themeFillShade="A6"/>
            <w:vAlign w:val="center"/>
          </w:tcPr>
          <w:p w14:paraId="1D64F131" w14:textId="77777777" w:rsidR="00C34C15" w:rsidRDefault="00C34C15" w:rsidP="00F22C61">
            <w:pPr>
              <w:jc w:val="center"/>
            </w:pPr>
          </w:p>
        </w:tc>
        <w:tc>
          <w:tcPr>
            <w:tcW w:w="494" w:type="dxa"/>
            <w:shd w:val="clear" w:color="auto" w:fill="auto"/>
            <w:vAlign w:val="center"/>
          </w:tcPr>
          <w:p w14:paraId="44859907" w14:textId="77777777" w:rsidR="00C34C15" w:rsidRDefault="00C34C15" w:rsidP="00F22C61">
            <w:pPr>
              <w:jc w:val="center"/>
            </w:pPr>
          </w:p>
        </w:tc>
        <w:tc>
          <w:tcPr>
            <w:tcW w:w="494" w:type="dxa"/>
            <w:vAlign w:val="center"/>
          </w:tcPr>
          <w:p w14:paraId="544C832C" w14:textId="77777777" w:rsidR="00C34C15" w:rsidRDefault="00C34C15" w:rsidP="00F22C61">
            <w:pPr>
              <w:jc w:val="center"/>
            </w:pPr>
          </w:p>
        </w:tc>
        <w:tc>
          <w:tcPr>
            <w:tcW w:w="494" w:type="dxa"/>
            <w:vAlign w:val="center"/>
          </w:tcPr>
          <w:p w14:paraId="165122D4" w14:textId="77777777" w:rsidR="00C34C15" w:rsidRDefault="00C34C15" w:rsidP="00F22C61">
            <w:pPr>
              <w:jc w:val="center"/>
            </w:pPr>
          </w:p>
        </w:tc>
      </w:tr>
      <w:tr w:rsidR="00C34C15" w14:paraId="782CC7A0" w14:textId="77777777" w:rsidTr="00D1573A">
        <w:tc>
          <w:tcPr>
            <w:tcW w:w="2040" w:type="dxa"/>
            <w:vMerge/>
            <w:vAlign w:val="center"/>
          </w:tcPr>
          <w:p w14:paraId="5CD6C99A" w14:textId="77777777" w:rsidR="00C34C15" w:rsidRDefault="00C34C15" w:rsidP="00F22C61"/>
        </w:tc>
        <w:tc>
          <w:tcPr>
            <w:tcW w:w="2024" w:type="dxa"/>
            <w:vAlign w:val="center"/>
          </w:tcPr>
          <w:p w14:paraId="3700F615" w14:textId="2C6378FF" w:rsidR="00C34C15" w:rsidRDefault="00C34C15" w:rsidP="00C34C15">
            <w:r>
              <w:t xml:space="preserve">Documentation and </w:t>
            </w:r>
            <w:r w:rsidR="00994040">
              <w:t xml:space="preserve">strategy for </w:t>
            </w:r>
            <w:r>
              <w:t>replication of the scheme</w:t>
            </w:r>
          </w:p>
        </w:tc>
        <w:tc>
          <w:tcPr>
            <w:tcW w:w="1495" w:type="dxa"/>
            <w:vAlign w:val="center"/>
          </w:tcPr>
          <w:p w14:paraId="3AED5500" w14:textId="77777777" w:rsidR="00C34C15" w:rsidRDefault="002A3B0F" w:rsidP="00F22C61">
            <w:r w:rsidRPr="002A3B0F">
              <w:t>IUCN</w:t>
            </w:r>
          </w:p>
        </w:tc>
        <w:tc>
          <w:tcPr>
            <w:tcW w:w="494" w:type="dxa"/>
            <w:vAlign w:val="center"/>
          </w:tcPr>
          <w:p w14:paraId="3DE2C4E1" w14:textId="77777777" w:rsidR="00C34C15" w:rsidRDefault="00C34C15" w:rsidP="00F22C61">
            <w:pPr>
              <w:jc w:val="center"/>
            </w:pPr>
          </w:p>
        </w:tc>
        <w:tc>
          <w:tcPr>
            <w:tcW w:w="494" w:type="dxa"/>
            <w:vAlign w:val="center"/>
          </w:tcPr>
          <w:p w14:paraId="3FA7CA73" w14:textId="77777777" w:rsidR="00C34C15" w:rsidRDefault="00C34C15" w:rsidP="00F22C61">
            <w:pPr>
              <w:jc w:val="center"/>
            </w:pPr>
          </w:p>
        </w:tc>
        <w:tc>
          <w:tcPr>
            <w:tcW w:w="494" w:type="dxa"/>
            <w:shd w:val="clear" w:color="auto" w:fill="FFFFFF" w:themeFill="background1"/>
            <w:vAlign w:val="center"/>
          </w:tcPr>
          <w:p w14:paraId="230E6809" w14:textId="77777777" w:rsidR="00C34C15" w:rsidRDefault="00C34C15" w:rsidP="00F22C61">
            <w:pPr>
              <w:jc w:val="center"/>
            </w:pPr>
          </w:p>
        </w:tc>
        <w:tc>
          <w:tcPr>
            <w:tcW w:w="494" w:type="dxa"/>
            <w:shd w:val="clear" w:color="auto" w:fill="A6A6A6" w:themeFill="background1" w:themeFillShade="A6"/>
            <w:vAlign w:val="center"/>
          </w:tcPr>
          <w:p w14:paraId="7AB9D4F8" w14:textId="77777777" w:rsidR="00C34C15" w:rsidRDefault="00C34C15" w:rsidP="00F22C61">
            <w:pPr>
              <w:jc w:val="center"/>
            </w:pPr>
          </w:p>
        </w:tc>
        <w:tc>
          <w:tcPr>
            <w:tcW w:w="494" w:type="dxa"/>
            <w:shd w:val="clear" w:color="auto" w:fill="auto"/>
            <w:vAlign w:val="center"/>
          </w:tcPr>
          <w:p w14:paraId="462C14AC" w14:textId="77777777" w:rsidR="00C34C15" w:rsidRDefault="00C34C15" w:rsidP="00F22C61">
            <w:pPr>
              <w:jc w:val="center"/>
            </w:pPr>
          </w:p>
        </w:tc>
        <w:tc>
          <w:tcPr>
            <w:tcW w:w="494" w:type="dxa"/>
            <w:shd w:val="clear" w:color="auto" w:fill="auto"/>
            <w:vAlign w:val="center"/>
          </w:tcPr>
          <w:p w14:paraId="2421D796" w14:textId="77777777" w:rsidR="00C34C15" w:rsidRDefault="00C34C15" w:rsidP="00F22C61">
            <w:pPr>
              <w:jc w:val="center"/>
            </w:pPr>
          </w:p>
        </w:tc>
        <w:tc>
          <w:tcPr>
            <w:tcW w:w="494" w:type="dxa"/>
            <w:shd w:val="clear" w:color="auto" w:fill="auto"/>
            <w:vAlign w:val="center"/>
          </w:tcPr>
          <w:p w14:paraId="41586BCF" w14:textId="77777777" w:rsidR="00C34C15" w:rsidRDefault="00C34C15" w:rsidP="00F22C61">
            <w:pPr>
              <w:jc w:val="center"/>
            </w:pPr>
          </w:p>
        </w:tc>
      </w:tr>
      <w:tr w:rsidR="00620DED" w14:paraId="68DD50B1" w14:textId="77777777" w:rsidTr="00B6260F">
        <w:trPr>
          <w:trHeight w:val="812"/>
        </w:trPr>
        <w:tc>
          <w:tcPr>
            <w:tcW w:w="2040" w:type="dxa"/>
            <w:vAlign w:val="center"/>
          </w:tcPr>
          <w:p w14:paraId="68F346C0" w14:textId="77777777" w:rsidR="00620DED" w:rsidRDefault="00620DED" w:rsidP="00F22C61">
            <w:r>
              <w:t>Budget for Phase 1:</w:t>
            </w:r>
          </w:p>
          <w:p w14:paraId="57EE16E1" w14:textId="77777777" w:rsidR="00620DED" w:rsidRDefault="00620DED" w:rsidP="00F22C61">
            <w:r>
              <w:t>Budget for Phase 2:</w:t>
            </w:r>
          </w:p>
        </w:tc>
        <w:tc>
          <w:tcPr>
            <w:tcW w:w="6977" w:type="dxa"/>
            <w:gridSpan w:val="9"/>
            <w:vAlign w:val="center"/>
          </w:tcPr>
          <w:p w14:paraId="63F09B7D" w14:textId="77777777" w:rsidR="00620DED" w:rsidRDefault="00620DED" w:rsidP="00620DED">
            <w:r>
              <w:t>US$ 40,372</w:t>
            </w:r>
          </w:p>
          <w:p w14:paraId="2089FDE0" w14:textId="77777777" w:rsidR="00620DED" w:rsidRDefault="002A3B0F" w:rsidP="00620DED">
            <w:r>
              <w:t>US$ 5</w:t>
            </w:r>
            <w:r w:rsidR="00620DED">
              <w:t>0,000</w:t>
            </w:r>
          </w:p>
        </w:tc>
      </w:tr>
      <w:tr w:rsidR="00620DED" w14:paraId="2E9D1F25" w14:textId="77777777" w:rsidTr="00B6260F">
        <w:trPr>
          <w:trHeight w:val="1108"/>
        </w:trPr>
        <w:tc>
          <w:tcPr>
            <w:tcW w:w="2040" w:type="dxa"/>
            <w:vAlign w:val="center"/>
          </w:tcPr>
          <w:p w14:paraId="0D6D79BC" w14:textId="77777777" w:rsidR="00620DED" w:rsidRDefault="00620DED" w:rsidP="00F22C61">
            <w:r>
              <w:t>Financial result</w:t>
            </w:r>
          </w:p>
        </w:tc>
        <w:tc>
          <w:tcPr>
            <w:tcW w:w="6977" w:type="dxa"/>
            <w:gridSpan w:val="9"/>
            <w:vAlign w:val="center"/>
          </w:tcPr>
          <w:p w14:paraId="3BE3D632" w14:textId="336B9EC5" w:rsidR="0016002A" w:rsidRDefault="00620DED" w:rsidP="00620DED">
            <w:r>
              <w:t xml:space="preserve">US$ 62,500 per annum (based on the assumption that LKR 0.10 per </w:t>
            </w:r>
            <w:proofErr w:type="spellStart"/>
            <w:r>
              <w:t>KWh</w:t>
            </w:r>
            <w:proofErr w:type="spellEnd"/>
            <w:r>
              <w:t xml:space="preserve"> and that additional 100 GWh to be generated and sold to CEB)</w:t>
            </w:r>
            <w:r w:rsidR="00D1573A">
              <w:t>; US$ 250,000 for 2021-2024</w:t>
            </w:r>
          </w:p>
        </w:tc>
      </w:tr>
    </w:tbl>
    <w:p w14:paraId="5CC0A642" w14:textId="77777777" w:rsidR="004D30F6" w:rsidRDefault="004D30F6" w:rsidP="00BB5D98">
      <w:pPr>
        <w:jc w:val="both"/>
      </w:pPr>
    </w:p>
    <w:p w14:paraId="5BF4C7BC" w14:textId="77777777" w:rsidR="00B6260F" w:rsidRDefault="00B6260F" w:rsidP="00BB5D98">
      <w:pPr>
        <w:jc w:val="both"/>
      </w:pPr>
    </w:p>
    <w:p w14:paraId="65B70751" w14:textId="77777777" w:rsidR="004D30F6" w:rsidRPr="00AF2BCC" w:rsidRDefault="00096769" w:rsidP="00BB5D98">
      <w:pPr>
        <w:jc w:val="both"/>
        <w:rPr>
          <w:b/>
        </w:rPr>
      </w:pPr>
      <w:r>
        <w:rPr>
          <w:b/>
        </w:rPr>
        <w:t xml:space="preserve">6B </w:t>
      </w:r>
      <w:r w:rsidR="00AF2BCC" w:rsidRPr="00AF2BCC">
        <w:rPr>
          <w:b/>
        </w:rPr>
        <w:t xml:space="preserve">Payment for watershed management for hydropower generation at </w:t>
      </w:r>
      <w:proofErr w:type="spellStart"/>
      <w:r w:rsidR="00AF2BCC" w:rsidRPr="00AF2BCC">
        <w:rPr>
          <w:b/>
        </w:rPr>
        <w:t>Moragahakanda</w:t>
      </w:r>
      <w:proofErr w:type="spellEnd"/>
    </w:p>
    <w:p w14:paraId="39A0AA5C" w14:textId="77777777" w:rsidR="008172CE" w:rsidRDefault="000F53E1" w:rsidP="00BB5D98">
      <w:pPr>
        <w:jc w:val="both"/>
      </w:pPr>
      <w:r>
        <w:t>The finance solution is to ensure the</w:t>
      </w:r>
      <w:r w:rsidRPr="000F53E1">
        <w:t xml:space="preserve"> supply of watershed services at the </w:t>
      </w:r>
      <w:proofErr w:type="spellStart"/>
      <w:r w:rsidRPr="000F53E1">
        <w:t>Moragakahanda</w:t>
      </w:r>
      <w:proofErr w:type="spellEnd"/>
      <w:r w:rsidRPr="000F53E1">
        <w:t xml:space="preserve"> reservoir </w:t>
      </w:r>
      <w:r>
        <w:t>for</w:t>
      </w:r>
      <w:r w:rsidRPr="000F53E1">
        <w:t xml:space="preserve"> </w:t>
      </w:r>
      <w:r w:rsidR="00BC3DFF">
        <w:t xml:space="preserve">sustainable </w:t>
      </w:r>
      <w:r w:rsidRPr="000F53E1">
        <w:t xml:space="preserve">hydropower </w:t>
      </w:r>
      <w:r>
        <w:t>generation</w:t>
      </w:r>
      <w:r w:rsidRPr="000F53E1">
        <w:t xml:space="preserve"> through </w:t>
      </w:r>
      <w:r>
        <w:t>a PES</w:t>
      </w:r>
      <w:r w:rsidRPr="000F53E1">
        <w:t xml:space="preserve"> scheme</w:t>
      </w:r>
      <w:r>
        <w:t>.</w:t>
      </w:r>
      <w:r w:rsidR="00BC3DFF">
        <w:t xml:space="preserve"> </w:t>
      </w:r>
      <w:r w:rsidR="00BC3DFF" w:rsidRPr="00BC3DFF">
        <w:t xml:space="preserve">The proposal is </w:t>
      </w:r>
      <w:r w:rsidR="00C86F60">
        <w:t xml:space="preserve">aimed at </w:t>
      </w:r>
      <w:r w:rsidR="00BC3DFF" w:rsidRPr="00BC3DFF">
        <w:t>a study with an implementation</w:t>
      </w:r>
      <w:r w:rsidR="00C86F60">
        <w:t xml:space="preserve"> component</w:t>
      </w:r>
      <w:r w:rsidR="00BC3DFF" w:rsidRPr="00BC3DFF">
        <w:t>.</w:t>
      </w:r>
    </w:p>
    <w:p w14:paraId="63B44F88" w14:textId="77777777" w:rsidR="00314B2B" w:rsidRDefault="00314B2B" w:rsidP="00BB5D98">
      <w:pPr>
        <w:jc w:val="both"/>
      </w:pPr>
      <w:r>
        <w:t>Objective</w:t>
      </w:r>
    </w:p>
    <w:p w14:paraId="175BF285" w14:textId="77777777" w:rsidR="00314B2B" w:rsidRDefault="001B6E7A" w:rsidP="00BB5D98">
      <w:pPr>
        <w:jc w:val="both"/>
      </w:pPr>
      <w:r w:rsidRPr="001B6E7A">
        <w:t>To improve watershed management through a PES scheme for enhancing and sustain</w:t>
      </w:r>
      <w:r>
        <w:t>ing hydro-power generation by the state-owned power generation sector.</w:t>
      </w:r>
    </w:p>
    <w:p w14:paraId="50CBB31F" w14:textId="77777777" w:rsidR="00817D4C" w:rsidRDefault="00817D4C" w:rsidP="00BB5D98">
      <w:pPr>
        <w:jc w:val="both"/>
      </w:pPr>
    </w:p>
    <w:p w14:paraId="4A4D5B46" w14:textId="77777777" w:rsidR="00F944C9" w:rsidRDefault="00F944C9" w:rsidP="0074674A">
      <w:pPr>
        <w:jc w:val="center"/>
      </w:pPr>
      <w:r w:rsidRPr="00F944C9">
        <w:rPr>
          <w:noProof/>
          <w:lang w:val="en-AU" w:eastAsia="en-AU" w:bidi="si-LK"/>
        </w:rPr>
        <w:drawing>
          <wp:inline distT="0" distB="0" distL="0" distR="0" wp14:anchorId="27EEFDC9" wp14:editId="42860B3B">
            <wp:extent cx="5600700" cy="4629150"/>
            <wp:effectExtent l="0" t="0" r="0" b="0"/>
            <wp:docPr id="3" name="Chart 3">
              <a:extLst xmlns:a="http://schemas.openxmlformats.org/drawingml/2006/main">
                <a:ext uri="{FF2B5EF4-FFF2-40B4-BE49-F238E27FC236}">
                  <a16:creationId xmlns:a16="http://schemas.microsoft.com/office/drawing/2014/main" id="{8CADA8CB-DE97-44A7-B772-9B3334EEB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D47D35" w14:textId="77777777" w:rsidR="00817D4C" w:rsidRDefault="00817D4C" w:rsidP="00817D4C">
      <w:pPr>
        <w:jc w:val="both"/>
      </w:pPr>
    </w:p>
    <w:p w14:paraId="490D6377" w14:textId="77777777" w:rsidR="00817D4C" w:rsidRDefault="00817D4C" w:rsidP="00817D4C">
      <w:pPr>
        <w:jc w:val="both"/>
      </w:pPr>
      <w:r>
        <w:t>Description</w:t>
      </w:r>
    </w:p>
    <w:p w14:paraId="21AD9FB4" w14:textId="6656A2A4" w:rsidR="00817D4C" w:rsidRDefault="00817D4C" w:rsidP="00817D4C">
      <w:pPr>
        <w:jc w:val="both"/>
      </w:pPr>
      <w:r>
        <w:t xml:space="preserve">Even though hydropower is the cheapest source of electricity generation, its importance in the country’s power generation mix has declined in the long run. Out of the total number of 17 major hydropower stations owned by the Ceylon Electivity Board (CEB), 12 stations were operating with a plant factor below 40 percent in 2016, while only one of the stations has reached 50 percent plant factor. Apart from the erratic weather patterns which is related to climatic changes, the decline in water capacity and the siltation in the main reservoirs has been a major cause underlying the electricity generation capacity of the hydro power plants. The poor land use management and the economic activities in the catchment areas of water reservoirs which resulted in a biodiversity degradation continued to affect the sustainability of water quality and quantity in the reservoirs and, thereby the long-term hydro power generation. The price of electricity based on hydropower does not reflect the upstream externality. Therefore, maintaining the upstream ecosystems is a condition for electricity generation from hydropower which also derives economic and financial benefits to the country. </w:t>
      </w:r>
    </w:p>
    <w:p w14:paraId="4B0722CC" w14:textId="2A11EFD4" w:rsidR="00B16B8F" w:rsidRDefault="00B16B8F" w:rsidP="00B16B8F">
      <w:pPr>
        <w:jc w:val="both"/>
      </w:pPr>
      <w:r w:rsidRPr="00195910">
        <w:t xml:space="preserve">The main objective is to prepare the study inputs and institutional mechanisms to introduce a payment for ecosystem services </w:t>
      </w:r>
      <w:r w:rsidR="004A08F7">
        <w:t xml:space="preserve">(PES) </w:t>
      </w:r>
      <w:r w:rsidRPr="00195910">
        <w:t>in the hydropower generation sector in Sri Lanka.</w:t>
      </w:r>
    </w:p>
    <w:p w14:paraId="0D2A748E" w14:textId="5234AED0" w:rsidR="004A08F7" w:rsidRPr="00195910" w:rsidRDefault="004A08F7" w:rsidP="00B16B8F">
      <w:pPr>
        <w:jc w:val="both"/>
      </w:pPr>
      <w:r>
        <w:t xml:space="preserve">Under a PES scheme, a nominal fee is added to the cost of electricity in the case of hydropower generation. </w:t>
      </w:r>
      <w:r w:rsidR="002A6F5B">
        <w:t>A</w:t>
      </w:r>
      <w:r>
        <w:t>verage electricity tariff does not vary with the source of power generation</w:t>
      </w:r>
      <w:r w:rsidR="002A6F5B">
        <w:t xml:space="preserve"> so that increase in hydropower generation does not alter the short-term tariff rate to the electricity users</w:t>
      </w:r>
      <w:r>
        <w:t>. The additional finances mobilized through the mechanism can be diverted to the communities and agencies in the catchment areas as a payment for better management of the ecosystems there which would guarantee the sustainability of water quality and quantity in the steams and reservoirs.</w:t>
      </w:r>
    </w:p>
    <w:p w14:paraId="786D1D29" w14:textId="771DB669" w:rsidR="00D25609" w:rsidRDefault="00D25609" w:rsidP="00D25609">
      <w:pPr>
        <w:jc w:val="both"/>
      </w:pPr>
      <w:proofErr w:type="spellStart"/>
      <w:r w:rsidRPr="00D25609">
        <w:t>Moragahakanda</w:t>
      </w:r>
      <w:proofErr w:type="spellEnd"/>
      <w:r w:rsidRPr="00D25609">
        <w:t xml:space="preserve"> reservoir</w:t>
      </w:r>
      <w:r w:rsidR="00195910">
        <w:t xml:space="preserve"> </w:t>
      </w:r>
      <w:r w:rsidRPr="00D25609">
        <w:t xml:space="preserve">is the latest addition to Sri Lanka’s large-scale multipurpose water reservoirs </w:t>
      </w:r>
      <w:r>
        <w:t xml:space="preserve">in 2016 </w:t>
      </w:r>
      <w:r w:rsidRPr="00D25609">
        <w:t xml:space="preserve">with a hydro power plant of 25 MW installed capacity. This </w:t>
      </w:r>
      <w:proofErr w:type="gramStart"/>
      <w:r w:rsidRPr="00D25609">
        <w:t>is considered to be</w:t>
      </w:r>
      <w:proofErr w:type="gramEnd"/>
      <w:r w:rsidRPr="00D25609">
        <w:t xml:space="preserve"> one of the best options for implement</w:t>
      </w:r>
      <w:r>
        <w:t xml:space="preserve">ation of PES because it is new </w:t>
      </w:r>
      <w:r w:rsidRPr="00D25609">
        <w:t>so that its water quality and quantity remains at optimal levels. Secondly, it can be an example to replicate the PES for many other older water reservoirs with both public-owned and private-owned hydropower plants in the country.</w:t>
      </w:r>
    </w:p>
    <w:p w14:paraId="0D04AF00" w14:textId="77777777" w:rsidR="00D25609" w:rsidRDefault="00D25609" w:rsidP="00D25609">
      <w:pPr>
        <w:jc w:val="both"/>
      </w:pPr>
      <w:r>
        <w:t>The finance solution is to incorporate PES to the electricity cost so that electricity generation from hydropower can be sustained, while conserving the biodiversity in the upstream areas on the one hand and, reducing the electricity generation cost of the expensive sources on the other hand.</w:t>
      </w:r>
    </w:p>
    <w:p w14:paraId="07BA4548" w14:textId="77777777" w:rsidR="00FC2E0D" w:rsidRDefault="00FC2E0D" w:rsidP="00D25609">
      <w:pPr>
        <w:jc w:val="both"/>
      </w:pPr>
      <w:r>
        <w:t xml:space="preserve">The finance solution consists of a study in Phase 1 and implementation component in Phase 2. </w:t>
      </w:r>
    </w:p>
    <w:p w14:paraId="10008A11" w14:textId="77777777" w:rsidR="00FC2E0D" w:rsidRDefault="00FC2E0D" w:rsidP="00D25609">
      <w:pPr>
        <w:jc w:val="both"/>
      </w:pPr>
      <w:r>
        <w:t xml:space="preserve">The proposed solution </w:t>
      </w:r>
      <w:r w:rsidRPr="00FC2E0D">
        <w:t xml:space="preserve">will result in an avoiding future costs of ecosystems management and a mobilization of resources for investing in biodiversity. While the buyers of the </w:t>
      </w:r>
      <w:proofErr w:type="gramStart"/>
      <w:r w:rsidRPr="00FC2E0D">
        <w:t>ecosystems</w:t>
      </w:r>
      <w:proofErr w:type="gramEnd"/>
      <w:r w:rsidRPr="00FC2E0D">
        <w:t xml:space="preserve"> services are expected to generate and mobilize finances, the sellers are expected to manage the ecosystem services better.</w:t>
      </w:r>
    </w:p>
    <w:p w14:paraId="7FBD5669" w14:textId="77777777" w:rsidR="00FC2E0D" w:rsidRDefault="00FC2E0D" w:rsidP="00D25609">
      <w:pPr>
        <w:jc w:val="both"/>
      </w:pPr>
      <w:r>
        <w:t>Business case</w:t>
      </w:r>
    </w:p>
    <w:p w14:paraId="1DA8E8BE" w14:textId="77777777" w:rsidR="00FC2E0D" w:rsidRDefault="001265E0" w:rsidP="00D25609">
      <w:pPr>
        <w:jc w:val="both"/>
      </w:pPr>
      <w:r>
        <w:t>The PES scheme is aimed at ensuring better management of the ecosystem services on the one hand and, improving the price efficiency in power generation in Sri Lanka. Both are national policy objectives, though they are under the mandate of different government agencies. PES mechanism is expected to bring these government agencies together for a national cause.</w:t>
      </w:r>
    </w:p>
    <w:p w14:paraId="73F57865" w14:textId="77777777" w:rsidR="00F7330C" w:rsidRDefault="00015BE3" w:rsidP="00015BE3">
      <w:pPr>
        <w:jc w:val="both"/>
      </w:pPr>
      <w:r>
        <w:t xml:space="preserve">A payment of LKR 0.10 per </w:t>
      </w:r>
      <w:proofErr w:type="spellStart"/>
      <w:r>
        <w:t>KWh</w:t>
      </w:r>
      <w:proofErr w:type="spellEnd"/>
      <w:r>
        <w:t xml:space="preserve"> (10 Cents/</w:t>
      </w:r>
      <w:proofErr w:type="spellStart"/>
      <w:r>
        <w:t>KWh</w:t>
      </w:r>
      <w:proofErr w:type="spellEnd"/>
      <w:r>
        <w:t>) electricity generated from hydropower will save LKR 23.00 on electricity generated from thermal oil; accordingly, for each 100 GWh electricity generated will mobilize LKR 10 million (US$ 62,500) annually in order to pay for ecosystem services. Therefore, PES fund can mobilize resources not only from tariffs on hydro power, but also from savings on thermal power for investing in ecosystems.</w:t>
      </w:r>
    </w:p>
    <w:p w14:paraId="11DC5B3C" w14:textId="31275247" w:rsidR="00FE3B2E" w:rsidRDefault="00FE3B2E" w:rsidP="00015BE3">
      <w:pPr>
        <w:jc w:val="both"/>
      </w:pPr>
      <w:r>
        <w:t>While the biodiversity and ecosystems are managed in a sustainable manner, the PES mechanism can ensure the improved hydropower generation. This will result in potential reduction in power generation from the expensive fossil fuel sources which is a saving to the national economy.</w:t>
      </w:r>
    </w:p>
    <w:p w14:paraId="23B42196" w14:textId="3908ACC8" w:rsidR="000D7CAF" w:rsidRDefault="000D7CAF" w:rsidP="00015BE3">
      <w:pPr>
        <w:jc w:val="both"/>
      </w:pPr>
      <w:r w:rsidRPr="000D7CAF">
        <w:t xml:space="preserve">The </w:t>
      </w:r>
      <w:r>
        <w:t>finance solution</w:t>
      </w:r>
      <w:r w:rsidRPr="000D7CAF">
        <w:t xml:space="preserve"> is </w:t>
      </w:r>
      <w:r>
        <w:t>expected to contribute to NBSAP</w:t>
      </w:r>
      <w:r w:rsidRPr="000D7CAF">
        <w:t xml:space="preserve"> targets</w:t>
      </w:r>
      <w:r>
        <w:t xml:space="preserve"> 2 and 4 with a reduction in h</w:t>
      </w:r>
      <w:r w:rsidRPr="000D7CAF">
        <w:t xml:space="preserve">abitat </w:t>
      </w:r>
      <w:r>
        <w:t xml:space="preserve">loss </w:t>
      </w:r>
      <w:r w:rsidRPr="000D7CAF">
        <w:t>and species loss</w:t>
      </w:r>
      <w:r>
        <w:t xml:space="preserve"> and, to targets 6 and 11 with s</w:t>
      </w:r>
      <w:r w:rsidRPr="000D7CAF">
        <w:t xml:space="preserve">ustainable use of biodiversity </w:t>
      </w:r>
      <w:r>
        <w:t xml:space="preserve">and enhanced ecosystems capacity </w:t>
      </w:r>
      <w:r w:rsidRPr="000D7CAF">
        <w:t>to provide goods and services.</w:t>
      </w:r>
    </w:p>
    <w:p w14:paraId="2B189D73" w14:textId="77777777" w:rsidR="00FC2E0D" w:rsidRDefault="00FC2E0D" w:rsidP="00D25609">
      <w:pPr>
        <w:jc w:val="both"/>
      </w:pPr>
      <w:r>
        <w:t>Responsibility</w:t>
      </w:r>
    </w:p>
    <w:p w14:paraId="6A5D07D6" w14:textId="77777777" w:rsidR="00D25609" w:rsidRDefault="00D25609" w:rsidP="00D25609">
      <w:pPr>
        <w:jc w:val="both"/>
      </w:pPr>
      <w:r w:rsidRPr="00895274">
        <w:t xml:space="preserve">The sellers of PES are the plantations, organizations, farmers and communities in the upstream catchment areas to conserve biodiversity. The buyers are the users of water in the downstream areas, while the most feasible buyer would be the CEB which operates </w:t>
      </w:r>
      <w:r w:rsidR="00E14C13" w:rsidRPr="00895274">
        <w:t xml:space="preserve">the </w:t>
      </w:r>
      <w:r w:rsidRPr="00895274">
        <w:t>hydropower plant. The mediator which connect the two parties would be the owner of the water reservoir which is the Ministry of Mahaweli Development and Environment - the agency that can operate the PES scheme.</w:t>
      </w:r>
      <w:r>
        <w:t xml:space="preserve"> </w:t>
      </w:r>
      <w:r w:rsidR="00E14C13" w:rsidRPr="00E14C13">
        <w:t xml:space="preserve">The </w:t>
      </w:r>
      <w:r w:rsidR="00E14C13">
        <w:t xml:space="preserve">study is undertaken for the </w:t>
      </w:r>
      <w:r w:rsidR="00E14C13" w:rsidRPr="00E14C13">
        <w:t xml:space="preserve">regulatory body of the utility prices - </w:t>
      </w:r>
      <w:r w:rsidR="00E14C13">
        <w:t xml:space="preserve">the </w:t>
      </w:r>
      <w:r w:rsidR="00E14C13" w:rsidRPr="00E14C13">
        <w:t>Public Utility Commission of Sri Lanka (PUCSL)</w:t>
      </w:r>
      <w:r w:rsidR="00E14C13">
        <w:t>.</w:t>
      </w:r>
    </w:p>
    <w:p w14:paraId="2B6280D3" w14:textId="099BE46B" w:rsidR="006311EF" w:rsidRDefault="006311EF" w:rsidP="00D25609">
      <w:pPr>
        <w:jc w:val="both"/>
      </w:pPr>
      <w:r>
        <w:t>Financial result</w:t>
      </w:r>
    </w:p>
    <w:p w14:paraId="76E5B768" w14:textId="5038A2FD" w:rsidR="006311EF" w:rsidRDefault="006311EF" w:rsidP="006311EF">
      <w:pPr>
        <w:jc w:val="both"/>
      </w:pPr>
      <w:r>
        <w:t xml:space="preserve">The finance </w:t>
      </w:r>
      <w:r w:rsidR="00114764">
        <w:t>solution will</w:t>
      </w:r>
      <w:r>
        <w:t xml:space="preserve"> result in mobilizing resources for preventing future costs, while reducing the cost of power generation. A payment of LKR 0.1/</w:t>
      </w:r>
      <w:proofErr w:type="spellStart"/>
      <w:r>
        <w:t>KWh</w:t>
      </w:r>
      <w:proofErr w:type="spellEnd"/>
      <w:r>
        <w:t xml:space="preserve"> (10 Cents/</w:t>
      </w:r>
      <w:proofErr w:type="spellStart"/>
      <w:r>
        <w:t>KWh</w:t>
      </w:r>
      <w:proofErr w:type="spellEnd"/>
      <w:r>
        <w:t>) electricity generated will save LKR 23.00 from thermal power cost or LKR 11.00 from coal power; accordingly, for 100 GWh electricity generated will mobilize LKR 10 million (US$ 62,500) annually in order to pay for ecosystem services. In addition, 100 GWh electricity from hydropower leads to a saving in the range of LKR 1.4 billion spend on coal power to LKR 2.6 billion spent on thermal oil. Therefore, PES fund can mobilize resources not only from tariffs on hydro power, but also from savings on thermal power for investing in ecosystems.</w:t>
      </w:r>
    </w:p>
    <w:p w14:paraId="0E028C64" w14:textId="77777777" w:rsidR="000F53E1" w:rsidRDefault="001D0FCA" w:rsidP="00BB5D98">
      <w:pPr>
        <w:jc w:val="both"/>
      </w:pPr>
      <w:r>
        <w:t>Action plan</w:t>
      </w:r>
    </w:p>
    <w:tbl>
      <w:tblPr>
        <w:tblStyle w:val="TableGrid"/>
        <w:tblW w:w="0" w:type="auto"/>
        <w:tblLook w:val="04A0" w:firstRow="1" w:lastRow="0" w:firstColumn="1" w:lastColumn="0" w:noHBand="0" w:noVBand="1"/>
      </w:tblPr>
      <w:tblGrid>
        <w:gridCol w:w="2051"/>
        <w:gridCol w:w="2008"/>
        <w:gridCol w:w="1500"/>
        <w:gridCol w:w="494"/>
        <w:gridCol w:w="494"/>
        <w:gridCol w:w="494"/>
        <w:gridCol w:w="494"/>
        <w:gridCol w:w="494"/>
        <w:gridCol w:w="494"/>
        <w:gridCol w:w="494"/>
      </w:tblGrid>
      <w:tr w:rsidR="001D0FCA" w14:paraId="5F3D36B8" w14:textId="77777777" w:rsidTr="001D64BF">
        <w:tc>
          <w:tcPr>
            <w:tcW w:w="2051" w:type="dxa"/>
            <w:vMerge w:val="restart"/>
            <w:vAlign w:val="center"/>
          </w:tcPr>
          <w:p w14:paraId="12D07E2C" w14:textId="77777777" w:rsidR="001D0FCA" w:rsidRPr="00C27851" w:rsidRDefault="001D0FCA" w:rsidP="00F22C61">
            <w:pPr>
              <w:jc w:val="center"/>
            </w:pPr>
            <w:r w:rsidRPr="00C27851">
              <w:t>Output</w:t>
            </w:r>
          </w:p>
        </w:tc>
        <w:tc>
          <w:tcPr>
            <w:tcW w:w="2008" w:type="dxa"/>
            <w:vMerge w:val="restart"/>
            <w:vAlign w:val="center"/>
          </w:tcPr>
          <w:p w14:paraId="6385070B" w14:textId="77777777" w:rsidR="001D0FCA" w:rsidRPr="00C27851" w:rsidRDefault="001D0FCA" w:rsidP="00F22C61">
            <w:pPr>
              <w:jc w:val="center"/>
            </w:pPr>
            <w:r w:rsidRPr="00C27851">
              <w:t>Main activities</w:t>
            </w:r>
          </w:p>
        </w:tc>
        <w:tc>
          <w:tcPr>
            <w:tcW w:w="1500" w:type="dxa"/>
            <w:vMerge w:val="restart"/>
            <w:vAlign w:val="center"/>
          </w:tcPr>
          <w:p w14:paraId="016C1F85" w14:textId="77777777" w:rsidR="001D0FCA" w:rsidRPr="00C27851" w:rsidRDefault="001D0FCA" w:rsidP="00F22C61">
            <w:pPr>
              <w:jc w:val="center"/>
            </w:pPr>
            <w:r w:rsidRPr="00C27851">
              <w:t>Responsibility</w:t>
            </w:r>
          </w:p>
        </w:tc>
        <w:tc>
          <w:tcPr>
            <w:tcW w:w="3458" w:type="dxa"/>
            <w:gridSpan w:val="7"/>
            <w:vAlign w:val="center"/>
          </w:tcPr>
          <w:p w14:paraId="2C01E1B9" w14:textId="77777777" w:rsidR="001D0FCA" w:rsidRPr="00C27851" w:rsidRDefault="001D0FCA" w:rsidP="00F22C61">
            <w:pPr>
              <w:jc w:val="center"/>
            </w:pPr>
            <w:r w:rsidRPr="00C27851">
              <w:t>Year</w:t>
            </w:r>
          </w:p>
        </w:tc>
      </w:tr>
      <w:tr w:rsidR="001D0FCA" w14:paraId="46D7E6F6" w14:textId="77777777" w:rsidTr="001D64BF">
        <w:tc>
          <w:tcPr>
            <w:tcW w:w="2051" w:type="dxa"/>
            <w:vMerge/>
            <w:vAlign w:val="center"/>
          </w:tcPr>
          <w:p w14:paraId="4A69253F" w14:textId="77777777" w:rsidR="001D0FCA" w:rsidRDefault="001D0FCA" w:rsidP="00F22C61">
            <w:pPr>
              <w:jc w:val="center"/>
            </w:pPr>
          </w:p>
        </w:tc>
        <w:tc>
          <w:tcPr>
            <w:tcW w:w="2008" w:type="dxa"/>
            <w:vMerge/>
            <w:vAlign w:val="center"/>
          </w:tcPr>
          <w:p w14:paraId="3EC6AF5D" w14:textId="77777777" w:rsidR="001D0FCA" w:rsidRDefault="001D0FCA" w:rsidP="00F22C61">
            <w:pPr>
              <w:jc w:val="center"/>
            </w:pPr>
          </w:p>
        </w:tc>
        <w:tc>
          <w:tcPr>
            <w:tcW w:w="1500" w:type="dxa"/>
            <w:vMerge/>
            <w:vAlign w:val="center"/>
          </w:tcPr>
          <w:p w14:paraId="67425594" w14:textId="77777777" w:rsidR="001D0FCA" w:rsidRDefault="001D0FCA" w:rsidP="00F22C61">
            <w:pPr>
              <w:jc w:val="center"/>
            </w:pPr>
          </w:p>
        </w:tc>
        <w:tc>
          <w:tcPr>
            <w:tcW w:w="494" w:type="dxa"/>
            <w:vAlign w:val="center"/>
          </w:tcPr>
          <w:p w14:paraId="76DA03F3" w14:textId="77777777" w:rsidR="001D0FCA" w:rsidRDefault="001D0FCA" w:rsidP="00F22C61">
            <w:pPr>
              <w:jc w:val="center"/>
            </w:pPr>
            <w:r w:rsidRPr="00C27851">
              <w:t>‘18</w:t>
            </w:r>
          </w:p>
        </w:tc>
        <w:tc>
          <w:tcPr>
            <w:tcW w:w="494" w:type="dxa"/>
            <w:vAlign w:val="center"/>
          </w:tcPr>
          <w:p w14:paraId="24D684C7" w14:textId="77777777" w:rsidR="001D0FCA" w:rsidRDefault="001D0FCA" w:rsidP="00F22C61">
            <w:pPr>
              <w:jc w:val="center"/>
            </w:pPr>
            <w:r w:rsidRPr="00C27851">
              <w:t>‘19</w:t>
            </w:r>
          </w:p>
        </w:tc>
        <w:tc>
          <w:tcPr>
            <w:tcW w:w="494" w:type="dxa"/>
            <w:vAlign w:val="center"/>
          </w:tcPr>
          <w:p w14:paraId="54B097BD" w14:textId="77777777" w:rsidR="001D0FCA" w:rsidRDefault="001D0FCA" w:rsidP="00F22C61">
            <w:pPr>
              <w:jc w:val="center"/>
            </w:pPr>
            <w:r w:rsidRPr="00C27851">
              <w:t>‘20</w:t>
            </w:r>
          </w:p>
        </w:tc>
        <w:tc>
          <w:tcPr>
            <w:tcW w:w="494" w:type="dxa"/>
            <w:vAlign w:val="center"/>
          </w:tcPr>
          <w:p w14:paraId="15BA1883" w14:textId="77777777" w:rsidR="001D0FCA" w:rsidRDefault="001D0FCA" w:rsidP="00F22C61">
            <w:pPr>
              <w:jc w:val="center"/>
            </w:pPr>
            <w:r w:rsidRPr="00C27851">
              <w:t>‘21</w:t>
            </w:r>
          </w:p>
        </w:tc>
        <w:tc>
          <w:tcPr>
            <w:tcW w:w="494" w:type="dxa"/>
            <w:vAlign w:val="center"/>
          </w:tcPr>
          <w:p w14:paraId="1F4B0DD1" w14:textId="77777777" w:rsidR="001D0FCA" w:rsidRDefault="001D0FCA" w:rsidP="00F22C61">
            <w:pPr>
              <w:jc w:val="center"/>
            </w:pPr>
            <w:r w:rsidRPr="00C27851">
              <w:t>‘22</w:t>
            </w:r>
          </w:p>
        </w:tc>
        <w:tc>
          <w:tcPr>
            <w:tcW w:w="494" w:type="dxa"/>
            <w:vAlign w:val="center"/>
          </w:tcPr>
          <w:p w14:paraId="1D5DD58F" w14:textId="77777777" w:rsidR="001D0FCA" w:rsidRDefault="001D0FCA" w:rsidP="00F22C61">
            <w:pPr>
              <w:jc w:val="center"/>
            </w:pPr>
            <w:r w:rsidRPr="00C27851">
              <w:t>‘23</w:t>
            </w:r>
          </w:p>
        </w:tc>
        <w:tc>
          <w:tcPr>
            <w:tcW w:w="494" w:type="dxa"/>
            <w:vAlign w:val="center"/>
          </w:tcPr>
          <w:p w14:paraId="33D67F21" w14:textId="77777777" w:rsidR="001D0FCA" w:rsidRDefault="001D0FCA" w:rsidP="00F22C61">
            <w:pPr>
              <w:jc w:val="center"/>
            </w:pPr>
            <w:r w:rsidRPr="00C27851">
              <w:t>‘24</w:t>
            </w:r>
          </w:p>
        </w:tc>
      </w:tr>
      <w:tr w:rsidR="003662B5" w14:paraId="0A010E2D" w14:textId="77777777" w:rsidTr="001D64BF">
        <w:tc>
          <w:tcPr>
            <w:tcW w:w="2051" w:type="dxa"/>
            <w:vAlign w:val="center"/>
          </w:tcPr>
          <w:p w14:paraId="63C43A44" w14:textId="77777777" w:rsidR="003662B5" w:rsidRDefault="003662B5" w:rsidP="00F22C61">
            <w:r>
              <w:t>PHASE 1</w:t>
            </w:r>
          </w:p>
        </w:tc>
        <w:tc>
          <w:tcPr>
            <w:tcW w:w="2008" w:type="dxa"/>
            <w:vAlign w:val="center"/>
          </w:tcPr>
          <w:p w14:paraId="79FC26CE" w14:textId="77777777" w:rsidR="003662B5" w:rsidRDefault="003662B5" w:rsidP="00F22C61"/>
        </w:tc>
        <w:tc>
          <w:tcPr>
            <w:tcW w:w="1500" w:type="dxa"/>
            <w:vAlign w:val="center"/>
          </w:tcPr>
          <w:p w14:paraId="5969A073" w14:textId="77777777" w:rsidR="003662B5" w:rsidRDefault="003662B5" w:rsidP="00F22C61"/>
        </w:tc>
        <w:tc>
          <w:tcPr>
            <w:tcW w:w="494" w:type="dxa"/>
            <w:shd w:val="clear" w:color="auto" w:fill="FFFFFF" w:themeFill="background1"/>
            <w:vAlign w:val="center"/>
          </w:tcPr>
          <w:p w14:paraId="443D401B" w14:textId="77777777" w:rsidR="003662B5" w:rsidRDefault="003662B5" w:rsidP="00F22C61">
            <w:pPr>
              <w:jc w:val="center"/>
            </w:pPr>
          </w:p>
        </w:tc>
        <w:tc>
          <w:tcPr>
            <w:tcW w:w="494" w:type="dxa"/>
            <w:vAlign w:val="center"/>
          </w:tcPr>
          <w:p w14:paraId="7CD12DF6" w14:textId="77777777" w:rsidR="003662B5" w:rsidRDefault="003662B5" w:rsidP="00F22C61">
            <w:pPr>
              <w:jc w:val="center"/>
            </w:pPr>
          </w:p>
        </w:tc>
        <w:tc>
          <w:tcPr>
            <w:tcW w:w="494" w:type="dxa"/>
            <w:vAlign w:val="center"/>
          </w:tcPr>
          <w:p w14:paraId="7FDD349E" w14:textId="77777777" w:rsidR="003662B5" w:rsidRDefault="003662B5" w:rsidP="00F22C61">
            <w:pPr>
              <w:jc w:val="center"/>
            </w:pPr>
          </w:p>
        </w:tc>
        <w:tc>
          <w:tcPr>
            <w:tcW w:w="494" w:type="dxa"/>
            <w:vAlign w:val="center"/>
          </w:tcPr>
          <w:p w14:paraId="64389425" w14:textId="77777777" w:rsidR="003662B5" w:rsidRDefault="003662B5" w:rsidP="00F22C61">
            <w:pPr>
              <w:jc w:val="center"/>
            </w:pPr>
          </w:p>
        </w:tc>
        <w:tc>
          <w:tcPr>
            <w:tcW w:w="494" w:type="dxa"/>
            <w:vAlign w:val="center"/>
          </w:tcPr>
          <w:p w14:paraId="69984E4B" w14:textId="77777777" w:rsidR="003662B5" w:rsidRDefault="003662B5" w:rsidP="00F22C61">
            <w:pPr>
              <w:jc w:val="center"/>
            </w:pPr>
          </w:p>
        </w:tc>
        <w:tc>
          <w:tcPr>
            <w:tcW w:w="494" w:type="dxa"/>
            <w:vAlign w:val="center"/>
          </w:tcPr>
          <w:p w14:paraId="130080F2" w14:textId="77777777" w:rsidR="003662B5" w:rsidRDefault="003662B5" w:rsidP="00F22C61">
            <w:pPr>
              <w:jc w:val="center"/>
            </w:pPr>
          </w:p>
        </w:tc>
        <w:tc>
          <w:tcPr>
            <w:tcW w:w="494" w:type="dxa"/>
            <w:vAlign w:val="center"/>
          </w:tcPr>
          <w:p w14:paraId="155F7465" w14:textId="77777777" w:rsidR="003662B5" w:rsidRDefault="003662B5" w:rsidP="00F22C61">
            <w:pPr>
              <w:jc w:val="center"/>
            </w:pPr>
          </w:p>
        </w:tc>
      </w:tr>
      <w:tr w:rsidR="00DC699F" w14:paraId="34FEB400" w14:textId="77777777" w:rsidTr="0045305E">
        <w:tc>
          <w:tcPr>
            <w:tcW w:w="2051" w:type="dxa"/>
            <w:vMerge w:val="restart"/>
            <w:vAlign w:val="center"/>
          </w:tcPr>
          <w:p w14:paraId="6F8C99D4" w14:textId="77777777" w:rsidR="00DC699F" w:rsidRDefault="00DC699F" w:rsidP="00DC699F">
            <w:r>
              <w:t>Completing the PES scheme</w:t>
            </w:r>
          </w:p>
        </w:tc>
        <w:tc>
          <w:tcPr>
            <w:tcW w:w="2008" w:type="dxa"/>
            <w:vAlign w:val="center"/>
          </w:tcPr>
          <w:p w14:paraId="7FF63C8B" w14:textId="77777777" w:rsidR="00DC699F" w:rsidRDefault="00DC699F" w:rsidP="00DC699F">
            <w:r>
              <w:t xml:space="preserve">Assessment of the relevant ecosystems </w:t>
            </w:r>
          </w:p>
        </w:tc>
        <w:tc>
          <w:tcPr>
            <w:tcW w:w="1500" w:type="dxa"/>
            <w:vAlign w:val="center"/>
          </w:tcPr>
          <w:p w14:paraId="247D9B4E" w14:textId="77777777" w:rsidR="00DC699F" w:rsidRDefault="00A40E11" w:rsidP="00DC699F">
            <w:r>
              <w:t>UNDP</w:t>
            </w:r>
          </w:p>
          <w:p w14:paraId="01BBCE17" w14:textId="77777777" w:rsidR="00A40E11" w:rsidRDefault="00A40E11" w:rsidP="00DC699F">
            <w:r>
              <w:t>PUCSL</w:t>
            </w:r>
          </w:p>
        </w:tc>
        <w:tc>
          <w:tcPr>
            <w:tcW w:w="494" w:type="dxa"/>
            <w:shd w:val="clear" w:color="auto" w:fill="A6A6A6" w:themeFill="background1" w:themeFillShade="A6"/>
            <w:vAlign w:val="center"/>
          </w:tcPr>
          <w:p w14:paraId="1CDDF82A" w14:textId="77777777" w:rsidR="00DC699F" w:rsidRDefault="00DC699F" w:rsidP="00DC699F">
            <w:pPr>
              <w:jc w:val="center"/>
            </w:pPr>
          </w:p>
        </w:tc>
        <w:tc>
          <w:tcPr>
            <w:tcW w:w="494" w:type="dxa"/>
            <w:vAlign w:val="center"/>
          </w:tcPr>
          <w:p w14:paraId="0A861265" w14:textId="77777777" w:rsidR="00DC699F" w:rsidRDefault="00DC699F" w:rsidP="00DC699F">
            <w:pPr>
              <w:jc w:val="center"/>
            </w:pPr>
          </w:p>
        </w:tc>
        <w:tc>
          <w:tcPr>
            <w:tcW w:w="494" w:type="dxa"/>
            <w:vAlign w:val="center"/>
          </w:tcPr>
          <w:p w14:paraId="547C5A79" w14:textId="77777777" w:rsidR="00DC699F" w:rsidRDefault="00DC699F" w:rsidP="00DC699F">
            <w:pPr>
              <w:jc w:val="center"/>
            </w:pPr>
          </w:p>
        </w:tc>
        <w:tc>
          <w:tcPr>
            <w:tcW w:w="494" w:type="dxa"/>
            <w:vAlign w:val="center"/>
          </w:tcPr>
          <w:p w14:paraId="41A7AD1F" w14:textId="77777777" w:rsidR="00DC699F" w:rsidRDefault="00DC699F" w:rsidP="00DC699F">
            <w:pPr>
              <w:jc w:val="center"/>
            </w:pPr>
          </w:p>
        </w:tc>
        <w:tc>
          <w:tcPr>
            <w:tcW w:w="494" w:type="dxa"/>
            <w:vAlign w:val="center"/>
          </w:tcPr>
          <w:p w14:paraId="58A95DF2" w14:textId="77777777" w:rsidR="00DC699F" w:rsidRDefault="00DC699F" w:rsidP="00DC699F">
            <w:pPr>
              <w:jc w:val="center"/>
            </w:pPr>
          </w:p>
        </w:tc>
        <w:tc>
          <w:tcPr>
            <w:tcW w:w="494" w:type="dxa"/>
            <w:vAlign w:val="center"/>
          </w:tcPr>
          <w:p w14:paraId="7485E507" w14:textId="77777777" w:rsidR="00DC699F" w:rsidRDefault="00DC699F" w:rsidP="00DC699F">
            <w:pPr>
              <w:jc w:val="center"/>
            </w:pPr>
          </w:p>
        </w:tc>
        <w:tc>
          <w:tcPr>
            <w:tcW w:w="494" w:type="dxa"/>
            <w:vAlign w:val="center"/>
          </w:tcPr>
          <w:p w14:paraId="4FB02EC2" w14:textId="77777777" w:rsidR="00DC699F" w:rsidRDefault="00DC699F" w:rsidP="00DC699F">
            <w:pPr>
              <w:jc w:val="center"/>
            </w:pPr>
          </w:p>
        </w:tc>
      </w:tr>
      <w:tr w:rsidR="00DC699F" w14:paraId="3BAA3C59" w14:textId="77777777" w:rsidTr="0045305E">
        <w:tc>
          <w:tcPr>
            <w:tcW w:w="2051" w:type="dxa"/>
            <w:vMerge/>
            <w:vAlign w:val="center"/>
          </w:tcPr>
          <w:p w14:paraId="2A4C3094" w14:textId="77777777" w:rsidR="00DC699F" w:rsidRDefault="00DC699F" w:rsidP="00DC699F"/>
        </w:tc>
        <w:tc>
          <w:tcPr>
            <w:tcW w:w="2008" w:type="dxa"/>
            <w:vAlign w:val="center"/>
          </w:tcPr>
          <w:p w14:paraId="47F069AB" w14:textId="77777777" w:rsidR="00DC699F" w:rsidRDefault="00DC699F" w:rsidP="00DC699F">
            <w:r w:rsidRPr="003F5763">
              <w:t>Identifying buyers and sellers</w:t>
            </w:r>
          </w:p>
        </w:tc>
        <w:tc>
          <w:tcPr>
            <w:tcW w:w="1500" w:type="dxa"/>
            <w:vAlign w:val="center"/>
          </w:tcPr>
          <w:p w14:paraId="6D129F08" w14:textId="77777777" w:rsidR="00DC699F" w:rsidRDefault="00A40E11" w:rsidP="00DC699F">
            <w:r>
              <w:t>UNDP</w:t>
            </w:r>
          </w:p>
          <w:p w14:paraId="7E6BF4E8" w14:textId="77777777" w:rsidR="00A40E11" w:rsidRDefault="00A40E11" w:rsidP="00DC699F">
            <w:r>
              <w:t>PUCSL</w:t>
            </w:r>
          </w:p>
        </w:tc>
        <w:tc>
          <w:tcPr>
            <w:tcW w:w="494" w:type="dxa"/>
            <w:shd w:val="clear" w:color="auto" w:fill="A6A6A6" w:themeFill="background1" w:themeFillShade="A6"/>
            <w:vAlign w:val="center"/>
          </w:tcPr>
          <w:p w14:paraId="0E9F63FE" w14:textId="77777777" w:rsidR="00DC699F" w:rsidRDefault="00DC699F" w:rsidP="00DC699F">
            <w:pPr>
              <w:jc w:val="center"/>
            </w:pPr>
          </w:p>
        </w:tc>
        <w:tc>
          <w:tcPr>
            <w:tcW w:w="494" w:type="dxa"/>
            <w:shd w:val="clear" w:color="auto" w:fill="FFFFFF" w:themeFill="background1"/>
            <w:vAlign w:val="center"/>
          </w:tcPr>
          <w:p w14:paraId="13CBB68E" w14:textId="77777777" w:rsidR="00DC699F" w:rsidRDefault="00DC699F" w:rsidP="00DC699F">
            <w:pPr>
              <w:jc w:val="center"/>
            </w:pPr>
          </w:p>
        </w:tc>
        <w:tc>
          <w:tcPr>
            <w:tcW w:w="494" w:type="dxa"/>
            <w:vAlign w:val="center"/>
          </w:tcPr>
          <w:p w14:paraId="092730AB" w14:textId="77777777" w:rsidR="00DC699F" w:rsidRDefault="00DC699F" w:rsidP="00DC699F">
            <w:pPr>
              <w:jc w:val="center"/>
            </w:pPr>
          </w:p>
        </w:tc>
        <w:tc>
          <w:tcPr>
            <w:tcW w:w="494" w:type="dxa"/>
            <w:vAlign w:val="center"/>
          </w:tcPr>
          <w:p w14:paraId="3F82C3BF" w14:textId="77777777" w:rsidR="00DC699F" w:rsidRDefault="00DC699F" w:rsidP="00DC699F">
            <w:pPr>
              <w:jc w:val="center"/>
            </w:pPr>
          </w:p>
        </w:tc>
        <w:tc>
          <w:tcPr>
            <w:tcW w:w="494" w:type="dxa"/>
            <w:vAlign w:val="center"/>
          </w:tcPr>
          <w:p w14:paraId="169C5600" w14:textId="77777777" w:rsidR="00DC699F" w:rsidRDefault="00DC699F" w:rsidP="00DC699F">
            <w:pPr>
              <w:jc w:val="center"/>
            </w:pPr>
          </w:p>
        </w:tc>
        <w:tc>
          <w:tcPr>
            <w:tcW w:w="494" w:type="dxa"/>
            <w:vAlign w:val="center"/>
          </w:tcPr>
          <w:p w14:paraId="069BE8CA" w14:textId="77777777" w:rsidR="00DC699F" w:rsidRDefault="00DC699F" w:rsidP="00DC699F">
            <w:pPr>
              <w:jc w:val="center"/>
            </w:pPr>
          </w:p>
        </w:tc>
        <w:tc>
          <w:tcPr>
            <w:tcW w:w="494" w:type="dxa"/>
            <w:vAlign w:val="center"/>
          </w:tcPr>
          <w:p w14:paraId="263E35FF" w14:textId="77777777" w:rsidR="00DC699F" w:rsidRDefault="00DC699F" w:rsidP="00DC699F">
            <w:pPr>
              <w:jc w:val="center"/>
            </w:pPr>
          </w:p>
        </w:tc>
      </w:tr>
      <w:tr w:rsidR="00DC699F" w14:paraId="628733F5" w14:textId="77777777" w:rsidTr="0045305E">
        <w:tc>
          <w:tcPr>
            <w:tcW w:w="2051" w:type="dxa"/>
            <w:vMerge/>
            <w:vAlign w:val="center"/>
          </w:tcPr>
          <w:p w14:paraId="0CD9EB77" w14:textId="77777777" w:rsidR="00DC699F" w:rsidRDefault="00DC699F" w:rsidP="00DC699F"/>
        </w:tc>
        <w:tc>
          <w:tcPr>
            <w:tcW w:w="2008" w:type="dxa"/>
            <w:vAlign w:val="center"/>
          </w:tcPr>
          <w:p w14:paraId="1F2AF280" w14:textId="77777777" w:rsidR="00DC699F" w:rsidRDefault="00DC699F" w:rsidP="00DC699F">
            <w:r>
              <w:t>Negotiations and entering into agreements</w:t>
            </w:r>
          </w:p>
        </w:tc>
        <w:tc>
          <w:tcPr>
            <w:tcW w:w="1500" w:type="dxa"/>
            <w:vAlign w:val="center"/>
          </w:tcPr>
          <w:p w14:paraId="4DA5C9CD" w14:textId="77777777" w:rsidR="00DC699F" w:rsidRDefault="00A40E11" w:rsidP="00DC699F">
            <w:r>
              <w:t>UNDP</w:t>
            </w:r>
          </w:p>
          <w:p w14:paraId="6C3BAB3D" w14:textId="77777777" w:rsidR="00A40E11" w:rsidRDefault="00A40E11" w:rsidP="00DC699F">
            <w:r>
              <w:t>PUCSL</w:t>
            </w:r>
          </w:p>
        </w:tc>
        <w:tc>
          <w:tcPr>
            <w:tcW w:w="494" w:type="dxa"/>
            <w:shd w:val="clear" w:color="auto" w:fill="A6A6A6" w:themeFill="background1" w:themeFillShade="A6"/>
            <w:vAlign w:val="center"/>
          </w:tcPr>
          <w:p w14:paraId="48254755" w14:textId="77777777" w:rsidR="00DC699F" w:rsidRDefault="00DC699F" w:rsidP="00DC699F">
            <w:pPr>
              <w:jc w:val="center"/>
            </w:pPr>
          </w:p>
        </w:tc>
        <w:tc>
          <w:tcPr>
            <w:tcW w:w="494" w:type="dxa"/>
            <w:shd w:val="clear" w:color="auto" w:fill="FFFFFF" w:themeFill="background1"/>
            <w:vAlign w:val="center"/>
          </w:tcPr>
          <w:p w14:paraId="592E719A" w14:textId="77777777" w:rsidR="00DC699F" w:rsidRDefault="00DC699F" w:rsidP="00DC699F">
            <w:pPr>
              <w:jc w:val="center"/>
            </w:pPr>
          </w:p>
        </w:tc>
        <w:tc>
          <w:tcPr>
            <w:tcW w:w="494" w:type="dxa"/>
            <w:shd w:val="clear" w:color="auto" w:fill="FFFFFF" w:themeFill="background1"/>
            <w:vAlign w:val="center"/>
          </w:tcPr>
          <w:p w14:paraId="65C90619" w14:textId="77777777" w:rsidR="00DC699F" w:rsidRDefault="00DC699F" w:rsidP="00DC699F">
            <w:pPr>
              <w:jc w:val="center"/>
            </w:pPr>
          </w:p>
        </w:tc>
        <w:tc>
          <w:tcPr>
            <w:tcW w:w="494" w:type="dxa"/>
            <w:shd w:val="clear" w:color="auto" w:fill="FFFFFF" w:themeFill="background1"/>
            <w:vAlign w:val="center"/>
          </w:tcPr>
          <w:p w14:paraId="6BFBCF29" w14:textId="77777777" w:rsidR="00DC699F" w:rsidRDefault="00DC699F" w:rsidP="00DC699F">
            <w:pPr>
              <w:jc w:val="center"/>
            </w:pPr>
          </w:p>
        </w:tc>
        <w:tc>
          <w:tcPr>
            <w:tcW w:w="494" w:type="dxa"/>
            <w:vAlign w:val="center"/>
          </w:tcPr>
          <w:p w14:paraId="36474F2E" w14:textId="77777777" w:rsidR="00DC699F" w:rsidRDefault="00DC699F" w:rsidP="00DC699F">
            <w:pPr>
              <w:jc w:val="center"/>
            </w:pPr>
          </w:p>
        </w:tc>
        <w:tc>
          <w:tcPr>
            <w:tcW w:w="494" w:type="dxa"/>
            <w:vAlign w:val="center"/>
          </w:tcPr>
          <w:p w14:paraId="68B57824" w14:textId="77777777" w:rsidR="00DC699F" w:rsidRDefault="00DC699F" w:rsidP="00DC699F">
            <w:pPr>
              <w:jc w:val="center"/>
            </w:pPr>
          </w:p>
        </w:tc>
        <w:tc>
          <w:tcPr>
            <w:tcW w:w="494" w:type="dxa"/>
            <w:vAlign w:val="center"/>
          </w:tcPr>
          <w:p w14:paraId="14CEF484" w14:textId="77777777" w:rsidR="00DC699F" w:rsidRDefault="00DC699F" w:rsidP="00DC699F">
            <w:pPr>
              <w:jc w:val="center"/>
            </w:pPr>
          </w:p>
        </w:tc>
      </w:tr>
      <w:tr w:rsidR="00DC699F" w14:paraId="78A2F566" w14:textId="77777777" w:rsidTr="0045305E">
        <w:tc>
          <w:tcPr>
            <w:tcW w:w="2051" w:type="dxa"/>
            <w:vMerge/>
            <w:vAlign w:val="center"/>
          </w:tcPr>
          <w:p w14:paraId="77E12D32" w14:textId="77777777" w:rsidR="00DC699F" w:rsidRDefault="00DC699F" w:rsidP="00DC699F"/>
        </w:tc>
        <w:tc>
          <w:tcPr>
            <w:tcW w:w="2008" w:type="dxa"/>
            <w:vAlign w:val="center"/>
          </w:tcPr>
          <w:p w14:paraId="148FC649" w14:textId="77777777" w:rsidR="00DC699F" w:rsidRDefault="00DC699F" w:rsidP="00DC699F">
            <w:r>
              <w:t>Designing the PES mechanism</w:t>
            </w:r>
          </w:p>
        </w:tc>
        <w:tc>
          <w:tcPr>
            <w:tcW w:w="1500" w:type="dxa"/>
            <w:vAlign w:val="center"/>
          </w:tcPr>
          <w:p w14:paraId="6AB6A061" w14:textId="77777777" w:rsidR="00DC699F" w:rsidRDefault="00A40E11" w:rsidP="00DC699F">
            <w:r>
              <w:t>UNDP</w:t>
            </w:r>
          </w:p>
          <w:p w14:paraId="7B339C7A" w14:textId="77777777" w:rsidR="00A40E11" w:rsidRDefault="00A40E11" w:rsidP="00DC699F">
            <w:r>
              <w:t>PUCSL</w:t>
            </w:r>
          </w:p>
        </w:tc>
        <w:tc>
          <w:tcPr>
            <w:tcW w:w="494" w:type="dxa"/>
            <w:shd w:val="clear" w:color="auto" w:fill="A6A6A6" w:themeFill="background1" w:themeFillShade="A6"/>
            <w:vAlign w:val="center"/>
          </w:tcPr>
          <w:p w14:paraId="0606DC1A" w14:textId="77777777" w:rsidR="00DC699F" w:rsidRDefault="00DC699F" w:rsidP="00DC699F">
            <w:pPr>
              <w:jc w:val="center"/>
            </w:pPr>
          </w:p>
        </w:tc>
        <w:tc>
          <w:tcPr>
            <w:tcW w:w="494" w:type="dxa"/>
            <w:vAlign w:val="center"/>
          </w:tcPr>
          <w:p w14:paraId="50367496" w14:textId="77777777" w:rsidR="00DC699F" w:rsidRDefault="00DC699F" w:rsidP="00DC699F">
            <w:pPr>
              <w:jc w:val="center"/>
            </w:pPr>
          </w:p>
        </w:tc>
        <w:tc>
          <w:tcPr>
            <w:tcW w:w="494" w:type="dxa"/>
            <w:vAlign w:val="center"/>
          </w:tcPr>
          <w:p w14:paraId="54237F99" w14:textId="77777777" w:rsidR="00DC699F" w:rsidRDefault="00DC699F" w:rsidP="00DC699F">
            <w:pPr>
              <w:jc w:val="center"/>
            </w:pPr>
          </w:p>
        </w:tc>
        <w:tc>
          <w:tcPr>
            <w:tcW w:w="494" w:type="dxa"/>
            <w:vAlign w:val="center"/>
          </w:tcPr>
          <w:p w14:paraId="70E2FA01" w14:textId="77777777" w:rsidR="00DC699F" w:rsidRDefault="00DC699F" w:rsidP="00DC699F">
            <w:pPr>
              <w:jc w:val="center"/>
            </w:pPr>
          </w:p>
        </w:tc>
        <w:tc>
          <w:tcPr>
            <w:tcW w:w="494" w:type="dxa"/>
            <w:vAlign w:val="center"/>
          </w:tcPr>
          <w:p w14:paraId="4E9DE802" w14:textId="77777777" w:rsidR="00DC699F" w:rsidRDefault="00DC699F" w:rsidP="00DC699F">
            <w:pPr>
              <w:jc w:val="center"/>
            </w:pPr>
          </w:p>
        </w:tc>
        <w:tc>
          <w:tcPr>
            <w:tcW w:w="494" w:type="dxa"/>
            <w:vAlign w:val="center"/>
          </w:tcPr>
          <w:p w14:paraId="1ADA6115" w14:textId="77777777" w:rsidR="00DC699F" w:rsidRDefault="00DC699F" w:rsidP="00DC699F">
            <w:pPr>
              <w:jc w:val="center"/>
            </w:pPr>
          </w:p>
        </w:tc>
        <w:tc>
          <w:tcPr>
            <w:tcW w:w="494" w:type="dxa"/>
            <w:vAlign w:val="center"/>
          </w:tcPr>
          <w:p w14:paraId="46CB19A0" w14:textId="77777777" w:rsidR="00DC699F" w:rsidRDefault="00DC699F" w:rsidP="00DC699F">
            <w:pPr>
              <w:jc w:val="center"/>
            </w:pPr>
          </w:p>
        </w:tc>
      </w:tr>
      <w:tr w:rsidR="00DC699F" w14:paraId="57E653DD" w14:textId="77777777" w:rsidTr="0045305E">
        <w:tc>
          <w:tcPr>
            <w:tcW w:w="2051" w:type="dxa"/>
            <w:vMerge/>
            <w:vAlign w:val="center"/>
          </w:tcPr>
          <w:p w14:paraId="1EAD47F0" w14:textId="77777777" w:rsidR="00DC699F" w:rsidRDefault="00DC699F" w:rsidP="00DC699F"/>
        </w:tc>
        <w:tc>
          <w:tcPr>
            <w:tcW w:w="2008" w:type="dxa"/>
            <w:vAlign w:val="center"/>
          </w:tcPr>
          <w:p w14:paraId="78AD7BA8" w14:textId="77777777" w:rsidR="00DC699F" w:rsidRDefault="00DC699F" w:rsidP="00DC699F">
            <w:r>
              <w:t>Institutional and policy analysis</w:t>
            </w:r>
          </w:p>
        </w:tc>
        <w:tc>
          <w:tcPr>
            <w:tcW w:w="1500" w:type="dxa"/>
            <w:vAlign w:val="center"/>
          </w:tcPr>
          <w:p w14:paraId="326DC216" w14:textId="77777777" w:rsidR="00DC699F" w:rsidRDefault="00A40E11" w:rsidP="00DC699F">
            <w:r>
              <w:t>UNDP</w:t>
            </w:r>
          </w:p>
          <w:p w14:paraId="37BB88C1" w14:textId="77777777" w:rsidR="00A40E11" w:rsidRDefault="00A40E11" w:rsidP="00DC699F">
            <w:r>
              <w:t>PUCSL</w:t>
            </w:r>
          </w:p>
        </w:tc>
        <w:tc>
          <w:tcPr>
            <w:tcW w:w="494" w:type="dxa"/>
            <w:shd w:val="clear" w:color="auto" w:fill="A6A6A6" w:themeFill="background1" w:themeFillShade="A6"/>
            <w:vAlign w:val="center"/>
          </w:tcPr>
          <w:p w14:paraId="307A27E2" w14:textId="77777777" w:rsidR="00DC699F" w:rsidRDefault="00DC699F" w:rsidP="00DC699F">
            <w:pPr>
              <w:jc w:val="center"/>
            </w:pPr>
          </w:p>
        </w:tc>
        <w:tc>
          <w:tcPr>
            <w:tcW w:w="494" w:type="dxa"/>
            <w:vAlign w:val="center"/>
          </w:tcPr>
          <w:p w14:paraId="5958E5C9" w14:textId="77777777" w:rsidR="00DC699F" w:rsidRDefault="00DC699F" w:rsidP="00DC699F">
            <w:pPr>
              <w:jc w:val="center"/>
            </w:pPr>
          </w:p>
        </w:tc>
        <w:tc>
          <w:tcPr>
            <w:tcW w:w="494" w:type="dxa"/>
            <w:vAlign w:val="center"/>
          </w:tcPr>
          <w:p w14:paraId="4274444F" w14:textId="77777777" w:rsidR="00DC699F" w:rsidRDefault="00DC699F" w:rsidP="00DC699F">
            <w:pPr>
              <w:jc w:val="center"/>
            </w:pPr>
          </w:p>
        </w:tc>
        <w:tc>
          <w:tcPr>
            <w:tcW w:w="494" w:type="dxa"/>
            <w:vAlign w:val="center"/>
          </w:tcPr>
          <w:p w14:paraId="016D60F2" w14:textId="77777777" w:rsidR="00DC699F" w:rsidRDefault="00DC699F" w:rsidP="00DC699F">
            <w:pPr>
              <w:jc w:val="center"/>
            </w:pPr>
          </w:p>
        </w:tc>
        <w:tc>
          <w:tcPr>
            <w:tcW w:w="494" w:type="dxa"/>
            <w:vAlign w:val="center"/>
          </w:tcPr>
          <w:p w14:paraId="5C2CDA03" w14:textId="77777777" w:rsidR="00DC699F" w:rsidRDefault="00DC699F" w:rsidP="00DC699F">
            <w:pPr>
              <w:jc w:val="center"/>
            </w:pPr>
          </w:p>
        </w:tc>
        <w:tc>
          <w:tcPr>
            <w:tcW w:w="494" w:type="dxa"/>
            <w:vAlign w:val="center"/>
          </w:tcPr>
          <w:p w14:paraId="3FB4847A" w14:textId="77777777" w:rsidR="00DC699F" w:rsidRDefault="00DC699F" w:rsidP="00DC699F">
            <w:pPr>
              <w:jc w:val="center"/>
            </w:pPr>
          </w:p>
        </w:tc>
        <w:tc>
          <w:tcPr>
            <w:tcW w:w="494" w:type="dxa"/>
            <w:vAlign w:val="center"/>
          </w:tcPr>
          <w:p w14:paraId="0B4B0408" w14:textId="77777777" w:rsidR="00DC699F" w:rsidRDefault="00DC699F" w:rsidP="00DC699F">
            <w:pPr>
              <w:jc w:val="center"/>
            </w:pPr>
          </w:p>
        </w:tc>
      </w:tr>
      <w:tr w:rsidR="003662B5" w14:paraId="041300D3" w14:textId="77777777" w:rsidTr="001D64BF">
        <w:tc>
          <w:tcPr>
            <w:tcW w:w="2051" w:type="dxa"/>
            <w:vAlign w:val="center"/>
          </w:tcPr>
          <w:p w14:paraId="3A2C1E87" w14:textId="77777777" w:rsidR="003662B5" w:rsidRDefault="003662B5" w:rsidP="00F22C61">
            <w:r>
              <w:t>PHASE 2</w:t>
            </w:r>
          </w:p>
        </w:tc>
        <w:tc>
          <w:tcPr>
            <w:tcW w:w="2008" w:type="dxa"/>
            <w:vAlign w:val="center"/>
          </w:tcPr>
          <w:p w14:paraId="499BE155" w14:textId="77777777" w:rsidR="003662B5" w:rsidRDefault="003662B5" w:rsidP="00F22C61"/>
        </w:tc>
        <w:tc>
          <w:tcPr>
            <w:tcW w:w="1500" w:type="dxa"/>
            <w:vAlign w:val="center"/>
          </w:tcPr>
          <w:p w14:paraId="7C204DDF" w14:textId="77777777" w:rsidR="003662B5" w:rsidRDefault="003662B5" w:rsidP="00F22C61"/>
        </w:tc>
        <w:tc>
          <w:tcPr>
            <w:tcW w:w="494" w:type="dxa"/>
            <w:vAlign w:val="center"/>
          </w:tcPr>
          <w:p w14:paraId="7E585599" w14:textId="77777777" w:rsidR="003662B5" w:rsidRDefault="003662B5" w:rsidP="00F22C61">
            <w:pPr>
              <w:jc w:val="center"/>
            </w:pPr>
          </w:p>
        </w:tc>
        <w:tc>
          <w:tcPr>
            <w:tcW w:w="494" w:type="dxa"/>
            <w:vAlign w:val="center"/>
          </w:tcPr>
          <w:p w14:paraId="1DD8DCE0" w14:textId="77777777" w:rsidR="003662B5" w:rsidRDefault="003662B5" w:rsidP="00F22C61">
            <w:pPr>
              <w:jc w:val="center"/>
            </w:pPr>
          </w:p>
        </w:tc>
        <w:tc>
          <w:tcPr>
            <w:tcW w:w="494" w:type="dxa"/>
            <w:vAlign w:val="center"/>
          </w:tcPr>
          <w:p w14:paraId="239E2E75" w14:textId="77777777" w:rsidR="003662B5" w:rsidRDefault="003662B5" w:rsidP="00F22C61">
            <w:pPr>
              <w:jc w:val="center"/>
            </w:pPr>
          </w:p>
        </w:tc>
        <w:tc>
          <w:tcPr>
            <w:tcW w:w="494" w:type="dxa"/>
            <w:vAlign w:val="center"/>
          </w:tcPr>
          <w:p w14:paraId="0668F102" w14:textId="77777777" w:rsidR="003662B5" w:rsidRDefault="003662B5" w:rsidP="00F22C61">
            <w:pPr>
              <w:jc w:val="center"/>
            </w:pPr>
          </w:p>
        </w:tc>
        <w:tc>
          <w:tcPr>
            <w:tcW w:w="494" w:type="dxa"/>
            <w:vAlign w:val="center"/>
          </w:tcPr>
          <w:p w14:paraId="02F29D8A" w14:textId="77777777" w:rsidR="003662B5" w:rsidRDefault="003662B5" w:rsidP="00F22C61">
            <w:pPr>
              <w:jc w:val="center"/>
            </w:pPr>
          </w:p>
        </w:tc>
        <w:tc>
          <w:tcPr>
            <w:tcW w:w="494" w:type="dxa"/>
            <w:vAlign w:val="center"/>
          </w:tcPr>
          <w:p w14:paraId="3092795F" w14:textId="77777777" w:rsidR="003662B5" w:rsidRDefault="003662B5" w:rsidP="00F22C61">
            <w:pPr>
              <w:jc w:val="center"/>
            </w:pPr>
          </w:p>
        </w:tc>
        <w:tc>
          <w:tcPr>
            <w:tcW w:w="494" w:type="dxa"/>
            <w:vAlign w:val="center"/>
          </w:tcPr>
          <w:p w14:paraId="7E46FADE" w14:textId="77777777" w:rsidR="003662B5" w:rsidRDefault="003662B5" w:rsidP="00F22C61">
            <w:pPr>
              <w:jc w:val="center"/>
            </w:pPr>
          </w:p>
        </w:tc>
      </w:tr>
      <w:tr w:rsidR="003662B5" w14:paraId="588C79F0" w14:textId="77777777" w:rsidTr="0045305E">
        <w:tc>
          <w:tcPr>
            <w:tcW w:w="2051" w:type="dxa"/>
            <w:vMerge w:val="restart"/>
            <w:vAlign w:val="center"/>
          </w:tcPr>
          <w:p w14:paraId="681360F6" w14:textId="77777777" w:rsidR="003662B5" w:rsidRDefault="003662B5" w:rsidP="00F22C61">
            <w:r>
              <w:t>Validation of the PES</w:t>
            </w:r>
          </w:p>
        </w:tc>
        <w:tc>
          <w:tcPr>
            <w:tcW w:w="2008" w:type="dxa"/>
            <w:vAlign w:val="center"/>
          </w:tcPr>
          <w:p w14:paraId="4A7BB40E" w14:textId="77777777" w:rsidR="003662B5" w:rsidRDefault="003662B5" w:rsidP="00F22C61">
            <w:r w:rsidRPr="003662B5">
              <w:t>Validating the PES scheme</w:t>
            </w:r>
          </w:p>
        </w:tc>
        <w:tc>
          <w:tcPr>
            <w:tcW w:w="1500" w:type="dxa"/>
            <w:vAlign w:val="center"/>
          </w:tcPr>
          <w:p w14:paraId="06B74C24" w14:textId="77777777" w:rsidR="003662B5" w:rsidRDefault="008F7CE3" w:rsidP="00F22C61">
            <w:r>
              <w:t>MPRE/MMDE</w:t>
            </w:r>
          </w:p>
          <w:p w14:paraId="40F0A665" w14:textId="77777777" w:rsidR="00A40E11" w:rsidRDefault="00A40E11" w:rsidP="00F22C61">
            <w:r>
              <w:t>PUCSL</w:t>
            </w:r>
          </w:p>
        </w:tc>
        <w:tc>
          <w:tcPr>
            <w:tcW w:w="494" w:type="dxa"/>
            <w:vAlign w:val="center"/>
          </w:tcPr>
          <w:p w14:paraId="6B2C35B3" w14:textId="77777777" w:rsidR="003662B5" w:rsidRDefault="003662B5" w:rsidP="00F22C61">
            <w:pPr>
              <w:jc w:val="center"/>
            </w:pPr>
          </w:p>
        </w:tc>
        <w:tc>
          <w:tcPr>
            <w:tcW w:w="494" w:type="dxa"/>
            <w:shd w:val="clear" w:color="auto" w:fill="A6A6A6" w:themeFill="background1" w:themeFillShade="A6"/>
            <w:vAlign w:val="center"/>
          </w:tcPr>
          <w:p w14:paraId="1A14F909" w14:textId="77777777" w:rsidR="003662B5" w:rsidRDefault="003662B5" w:rsidP="00F22C61">
            <w:pPr>
              <w:jc w:val="center"/>
            </w:pPr>
          </w:p>
        </w:tc>
        <w:tc>
          <w:tcPr>
            <w:tcW w:w="494" w:type="dxa"/>
            <w:shd w:val="clear" w:color="auto" w:fill="A6A6A6" w:themeFill="background1" w:themeFillShade="A6"/>
            <w:vAlign w:val="center"/>
          </w:tcPr>
          <w:p w14:paraId="31A27C0D" w14:textId="77777777" w:rsidR="003662B5" w:rsidRDefault="003662B5" w:rsidP="00F22C61">
            <w:pPr>
              <w:jc w:val="center"/>
            </w:pPr>
          </w:p>
        </w:tc>
        <w:tc>
          <w:tcPr>
            <w:tcW w:w="494" w:type="dxa"/>
            <w:vAlign w:val="center"/>
          </w:tcPr>
          <w:p w14:paraId="417DD7E3" w14:textId="77777777" w:rsidR="003662B5" w:rsidRDefault="003662B5" w:rsidP="00F22C61">
            <w:pPr>
              <w:jc w:val="center"/>
            </w:pPr>
          </w:p>
        </w:tc>
        <w:tc>
          <w:tcPr>
            <w:tcW w:w="494" w:type="dxa"/>
            <w:vAlign w:val="center"/>
          </w:tcPr>
          <w:p w14:paraId="13CFFF27" w14:textId="77777777" w:rsidR="003662B5" w:rsidRDefault="003662B5" w:rsidP="00F22C61">
            <w:pPr>
              <w:jc w:val="center"/>
            </w:pPr>
          </w:p>
        </w:tc>
        <w:tc>
          <w:tcPr>
            <w:tcW w:w="494" w:type="dxa"/>
            <w:vAlign w:val="center"/>
          </w:tcPr>
          <w:p w14:paraId="2D7C2CEC" w14:textId="77777777" w:rsidR="003662B5" w:rsidRDefault="003662B5" w:rsidP="00F22C61">
            <w:pPr>
              <w:jc w:val="center"/>
            </w:pPr>
          </w:p>
        </w:tc>
        <w:tc>
          <w:tcPr>
            <w:tcW w:w="494" w:type="dxa"/>
            <w:vAlign w:val="center"/>
          </w:tcPr>
          <w:p w14:paraId="0FD42497" w14:textId="77777777" w:rsidR="003662B5" w:rsidRDefault="003662B5" w:rsidP="00F22C61">
            <w:pPr>
              <w:jc w:val="center"/>
            </w:pPr>
          </w:p>
        </w:tc>
      </w:tr>
      <w:tr w:rsidR="003662B5" w14:paraId="76E0E623" w14:textId="77777777" w:rsidTr="0045305E">
        <w:tc>
          <w:tcPr>
            <w:tcW w:w="2051" w:type="dxa"/>
            <w:vMerge/>
            <w:vAlign w:val="center"/>
          </w:tcPr>
          <w:p w14:paraId="202ED829" w14:textId="77777777" w:rsidR="003662B5" w:rsidRDefault="003662B5" w:rsidP="00F22C61"/>
        </w:tc>
        <w:tc>
          <w:tcPr>
            <w:tcW w:w="2008" w:type="dxa"/>
            <w:vAlign w:val="center"/>
          </w:tcPr>
          <w:p w14:paraId="40276CEB" w14:textId="77777777" w:rsidR="003662B5" w:rsidRDefault="003662B5" w:rsidP="00F22C61">
            <w:r>
              <w:t>Policy and regulatory reform</w:t>
            </w:r>
          </w:p>
        </w:tc>
        <w:tc>
          <w:tcPr>
            <w:tcW w:w="1500" w:type="dxa"/>
            <w:vAlign w:val="center"/>
          </w:tcPr>
          <w:p w14:paraId="438A4CE9" w14:textId="77777777" w:rsidR="003662B5" w:rsidRDefault="008F7CE3" w:rsidP="00F22C61">
            <w:r>
              <w:t>MPRE/MMDE</w:t>
            </w:r>
          </w:p>
          <w:p w14:paraId="2BB562CF" w14:textId="77777777" w:rsidR="00DA02F3" w:rsidRDefault="00DA02F3" w:rsidP="00F22C61">
            <w:r>
              <w:t>PUCSL</w:t>
            </w:r>
          </w:p>
        </w:tc>
        <w:tc>
          <w:tcPr>
            <w:tcW w:w="494" w:type="dxa"/>
            <w:vAlign w:val="center"/>
          </w:tcPr>
          <w:p w14:paraId="689C62B5" w14:textId="77777777" w:rsidR="003662B5" w:rsidRDefault="003662B5" w:rsidP="00F22C61">
            <w:pPr>
              <w:jc w:val="center"/>
            </w:pPr>
          </w:p>
        </w:tc>
        <w:tc>
          <w:tcPr>
            <w:tcW w:w="494" w:type="dxa"/>
            <w:shd w:val="clear" w:color="auto" w:fill="A6A6A6" w:themeFill="background1" w:themeFillShade="A6"/>
            <w:vAlign w:val="center"/>
          </w:tcPr>
          <w:p w14:paraId="5283ACD8" w14:textId="77777777" w:rsidR="003662B5" w:rsidRDefault="003662B5" w:rsidP="00F22C61">
            <w:pPr>
              <w:jc w:val="center"/>
            </w:pPr>
          </w:p>
        </w:tc>
        <w:tc>
          <w:tcPr>
            <w:tcW w:w="494" w:type="dxa"/>
            <w:shd w:val="clear" w:color="auto" w:fill="A6A6A6" w:themeFill="background1" w:themeFillShade="A6"/>
            <w:vAlign w:val="center"/>
          </w:tcPr>
          <w:p w14:paraId="208AB44F" w14:textId="77777777" w:rsidR="003662B5" w:rsidRDefault="003662B5" w:rsidP="00F22C61">
            <w:pPr>
              <w:jc w:val="center"/>
            </w:pPr>
          </w:p>
        </w:tc>
        <w:tc>
          <w:tcPr>
            <w:tcW w:w="494" w:type="dxa"/>
            <w:vAlign w:val="center"/>
          </w:tcPr>
          <w:p w14:paraId="04340C60" w14:textId="77777777" w:rsidR="003662B5" w:rsidRDefault="003662B5" w:rsidP="00F22C61">
            <w:pPr>
              <w:jc w:val="center"/>
            </w:pPr>
          </w:p>
        </w:tc>
        <w:tc>
          <w:tcPr>
            <w:tcW w:w="494" w:type="dxa"/>
            <w:vAlign w:val="center"/>
          </w:tcPr>
          <w:p w14:paraId="5BCB71E6" w14:textId="77777777" w:rsidR="003662B5" w:rsidRDefault="003662B5" w:rsidP="00F22C61">
            <w:pPr>
              <w:jc w:val="center"/>
            </w:pPr>
          </w:p>
        </w:tc>
        <w:tc>
          <w:tcPr>
            <w:tcW w:w="494" w:type="dxa"/>
            <w:vAlign w:val="center"/>
          </w:tcPr>
          <w:p w14:paraId="26DD7925" w14:textId="77777777" w:rsidR="003662B5" w:rsidRDefault="003662B5" w:rsidP="00F22C61">
            <w:pPr>
              <w:jc w:val="center"/>
            </w:pPr>
          </w:p>
        </w:tc>
        <w:tc>
          <w:tcPr>
            <w:tcW w:w="494" w:type="dxa"/>
            <w:vAlign w:val="center"/>
          </w:tcPr>
          <w:p w14:paraId="197D4C32" w14:textId="77777777" w:rsidR="003662B5" w:rsidRDefault="003662B5" w:rsidP="00F22C61">
            <w:pPr>
              <w:jc w:val="center"/>
            </w:pPr>
          </w:p>
        </w:tc>
      </w:tr>
      <w:tr w:rsidR="003D2037" w14:paraId="78166916" w14:textId="77777777" w:rsidTr="001B6E7A">
        <w:tc>
          <w:tcPr>
            <w:tcW w:w="2051" w:type="dxa"/>
            <w:vMerge w:val="restart"/>
            <w:vAlign w:val="center"/>
          </w:tcPr>
          <w:p w14:paraId="2CE9D3F6" w14:textId="77777777" w:rsidR="003D2037" w:rsidRDefault="003D2037" w:rsidP="00F22C61">
            <w:r>
              <w:t>Establishment of the PES scheme</w:t>
            </w:r>
          </w:p>
        </w:tc>
        <w:tc>
          <w:tcPr>
            <w:tcW w:w="2008" w:type="dxa"/>
            <w:vAlign w:val="center"/>
          </w:tcPr>
          <w:p w14:paraId="217558F7" w14:textId="77777777" w:rsidR="003D2037" w:rsidRDefault="003D2037" w:rsidP="00F22C61">
            <w:r>
              <w:t>Implementing the PES scheme</w:t>
            </w:r>
          </w:p>
        </w:tc>
        <w:tc>
          <w:tcPr>
            <w:tcW w:w="1500" w:type="dxa"/>
            <w:vAlign w:val="center"/>
          </w:tcPr>
          <w:p w14:paraId="2DE2B1FB" w14:textId="77777777" w:rsidR="00DA02F3" w:rsidRDefault="008F7CE3" w:rsidP="00F22C61">
            <w:r>
              <w:t>CEB</w:t>
            </w:r>
          </w:p>
        </w:tc>
        <w:tc>
          <w:tcPr>
            <w:tcW w:w="494" w:type="dxa"/>
            <w:vAlign w:val="center"/>
          </w:tcPr>
          <w:p w14:paraId="6CD2B123" w14:textId="77777777" w:rsidR="003D2037" w:rsidRDefault="003D2037" w:rsidP="00F22C61">
            <w:pPr>
              <w:jc w:val="center"/>
            </w:pPr>
          </w:p>
        </w:tc>
        <w:tc>
          <w:tcPr>
            <w:tcW w:w="494" w:type="dxa"/>
            <w:vAlign w:val="center"/>
          </w:tcPr>
          <w:p w14:paraId="69E28C70" w14:textId="77777777" w:rsidR="003D2037" w:rsidRDefault="003D2037" w:rsidP="00F22C61">
            <w:pPr>
              <w:jc w:val="center"/>
            </w:pPr>
          </w:p>
        </w:tc>
        <w:tc>
          <w:tcPr>
            <w:tcW w:w="494" w:type="dxa"/>
            <w:shd w:val="clear" w:color="auto" w:fill="A6A6A6" w:themeFill="background1" w:themeFillShade="A6"/>
            <w:vAlign w:val="center"/>
          </w:tcPr>
          <w:p w14:paraId="3332A74A" w14:textId="77777777" w:rsidR="003D2037" w:rsidRDefault="003D2037" w:rsidP="00F22C61">
            <w:pPr>
              <w:jc w:val="center"/>
            </w:pPr>
          </w:p>
        </w:tc>
        <w:tc>
          <w:tcPr>
            <w:tcW w:w="494" w:type="dxa"/>
            <w:shd w:val="clear" w:color="auto" w:fill="A6A6A6" w:themeFill="background1" w:themeFillShade="A6"/>
            <w:vAlign w:val="center"/>
          </w:tcPr>
          <w:p w14:paraId="39488C5D" w14:textId="77777777" w:rsidR="003D2037" w:rsidRDefault="003D2037" w:rsidP="00F22C61">
            <w:pPr>
              <w:jc w:val="center"/>
            </w:pPr>
          </w:p>
        </w:tc>
        <w:tc>
          <w:tcPr>
            <w:tcW w:w="494" w:type="dxa"/>
            <w:shd w:val="clear" w:color="auto" w:fill="auto"/>
            <w:vAlign w:val="center"/>
          </w:tcPr>
          <w:p w14:paraId="2F3D9464" w14:textId="77777777" w:rsidR="003D2037" w:rsidRDefault="003D2037" w:rsidP="00F22C61">
            <w:pPr>
              <w:jc w:val="center"/>
            </w:pPr>
          </w:p>
        </w:tc>
        <w:tc>
          <w:tcPr>
            <w:tcW w:w="494" w:type="dxa"/>
            <w:shd w:val="clear" w:color="auto" w:fill="auto"/>
            <w:vAlign w:val="center"/>
          </w:tcPr>
          <w:p w14:paraId="68729A8A" w14:textId="77777777" w:rsidR="003D2037" w:rsidRDefault="003D2037" w:rsidP="00F22C61">
            <w:pPr>
              <w:jc w:val="center"/>
            </w:pPr>
          </w:p>
        </w:tc>
        <w:tc>
          <w:tcPr>
            <w:tcW w:w="494" w:type="dxa"/>
            <w:shd w:val="clear" w:color="auto" w:fill="auto"/>
            <w:vAlign w:val="center"/>
          </w:tcPr>
          <w:p w14:paraId="0F9F94A6" w14:textId="77777777" w:rsidR="003D2037" w:rsidRDefault="003D2037" w:rsidP="00F22C61">
            <w:pPr>
              <w:jc w:val="center"/>
            </w:pPr>
          </w:p>
        </w:tc>
      </w:tr>
      <w:tr w:rsidR="003D2037" w14:paraId="233C1F8E" w14:textId="77777777" w:rsidTr="001B6E7A">
        <w:tc>
          <w:tcPr>
            <w:tcW w:w="2051" w:type="dxa"/>
            <w:vMerge/>
            <w:vAlign w:val="center"/>
          </w:tcPr>
          <w:p w14:paraId="0ECA6775" w14:textId="77777777" w:rsidR="003D2037" w:rsidRDefault="003D2037" w:rsidP="00F22C61"/>
        </w:tc>
        <w:tc>
          <w:tcPr>
            <w:tcW w:w="2008" w:type="dxa"/>
            <w:vAlign w:val="center"/>
          </w:tcPr>
          <w:p w14:paraId="05EFADBA" w14:textId="77777777" w:rsidR="003D2037" w:rsidRDefault="003D2037" w:rsidP="00F22C61">
            <w:r>
              <w:t>Monitoring and evaluation</w:t>
            </w:r>
          </w:p>
        </w:tc>
        <w:tc>
          <w:tcPr>
            <w:tcW w:w="1500" w:type="dxa"/>
            <w:vAlign w:val="center"/>
          </w:tcPr>
          <w:p w14:paraId="56E87137" w14:textId="77777777" w:rsidR="008F7CE3" w:rsidRDefault="008F7CE3" w:rsidP="00F22C61">
            <w:r>
              <w:t>MMDE</w:t>
            </w:r>
          </w:p>
          <w:p w14:paraId="2E4C311C" w14:textId="77777777" w:rsidR="00DA02F3" w:rsidRDefault="00DA02F3" w:rsidP="00F22C61">
            <w:r>
              <w:t>PUCSL</w:t>
            </w:r>
          </w:p>
        </w:tc>
        <w:tc>
          <w:tcPr>
            <w:tcW w:w="494" w:type="dxa"/>
            <w:vAlign w:val="center"/>
          </w:tcPr>
          <w:p w14:paraId="3C04C8C1" w14:textId="77777777" w:rsidR="003D2037" w:rsidRDefault="003D2037" w:rsidP="00F22C61">
            <w:pPr>
              <w:jc w:val="center"/>
            </w:pPr>
          </w:p>
        </w:tc>
        <w:tc>
          <w:tcPr>
            <w:tcW w:w="494" w:type="dxa"/>
            <w:vAlign w:val="center"/>
          </w:tcPr>
          <w:p w14:paraId="1E9655D4" w14:textId="77777777" w:rsidR="003D2037" w:rsidRDefault="003D2037" w:rsidP="00F22C61">
            <w:pPr>
              <w:jc w:val="center"/>
            </w:pPr>
          </w:p>
        </w:tc>
        <w:tc>
          <w:tcPr>
            <w:tcW w:w="494" w:type="dxa"/>
            <w:shd w:val="clear" w:color="auto" w:fill="A6A6A6" w:themeFill="background1" w:themeFillShade="A6"/>
            <w:vAlign w:val="center"/>
          </w:tcPr>
          <w:p w14:paraId="086764F6" w14:textId="77777777" w:rsidR="003D2037" w:rsidRDefault="003D2037" w:rsidP="00F22C61">
            <w:pPr>
              <w:jc w:val="center"/>
            </w:pPr>
          </w:p>
        </w:tc>
        <w:tc>
          <w:tcPr>
            <w:tcW w:w="494" w:type="dxa"/>
            <w:shd w:val="clear" w:color="auto" w:fill="A6A6A6" w:themeFill="background1" w:themeFillShade="A6"/>
            <w:vAlign w:val="center"/>
          </w:tcPr>
          <w:p w14:paraId="0198D4AA" w14:textId="77777777" w:rsidR="003D2037" w:rsidRDefault="003D2037" w:rsidP="00F22C61">
            <w:pPr>
              <w:jc w:val="center"/>
            </w:pPr>
          </w:p>
        </w:tc>
        <w:tc>
          <w:tcPr>
            <w:tcW w:w="494" w:type="dxa"/>
            <w:shd w:val="clear" w:color="auto" w:fill="auto"/>
            <w:vAlign w:val="center"/>
          </w:tcPr>
          <w:p w14:paraId="5F232013" w14:textId="77777777" w:rsidR="003D2037" w:rsidRDefault="003D2037" w:rsidP="00F22C61">
            <w:pPr>
              <w:jc w:val="center"/>
            </w:pPr>
          </w:p>
        </w:tc>
        <w:tc>
          <w:tcPr>
            <w:tcW w:w="494" w:type="dxa"/>
            <w:shd w:val="clear" w:color="auto" w:fill="auto"/>
            <w:vAlign w:val="center"/>
          </w:tcPr>
          <w:p w14:paraId="61925A15" w14:textId="77777777" w:rsidR="003D2037" w:rsidRDefault="003D2037" w:rsidP="00F22C61">
            <w:pPr>
              <w:jc w:val="center"/>
            </w:pPr>
          </w:p>
        </w:tc>
        <w:tc>
          <w:tcPr>
            <w:tcW w:w="494" w:type="dxa"/>
            <w:shd w:val="clear" w:color="auto" w:fill="auto"/>
            <w:vAlign w:val="center"/>
          </w:tcPr>
          <w:p w14:paraId="4696D37C" w14:textId="77777777" w:rsidR="003D2037" w:rsidRDefault="003D2037" w:rsidP="00F22C61">
            <w:pPr>
              <w:jc w:val="center"/>
            </w:pPr>
          </w:p>
        </w:tc>
      </w:tr>
      <w:tr w:rsidR="003D2037" w14:paraId="1A8C8F33" w14:textId="77777777" w:rsidTr="001B6E7A">
        <w:tc>
          <w:tcPr>
            <w:tcW w:w="2051" w:type="dxa"/>
            <w:vMerge/>
            <w:vAlign w:val="center"/>
          </w:tcPr>
          <w:p w14:paraId="54934674" w14:textId="77777777" w:rsidR="003D2037" w:rsidRDefault="003D2037" w:rsidP="00F22C61"/>
        </w:tc>
        <w:tc>
          <w:tcPr>
            <w:tcW w:w="2008" w:type="dxa"/>
            <w:vAlign w:val="center"/>
          </w:tcPr>
          <w:p w14:paraId="3102AF00" w14:textId="77777777" w:rsidR="003D2037" w:rsidRDefault="003D2037" w:rsidP="00F22C61">
            <w:r>
              <w:t>Developing knowledge products</w:t>
            </w:r>
          </w:p>
        </w:tc>
        <w:tc>
          <w:tcPr>
            <w:tcW w:w="1500" w:type="dxa"/>
            <w:vAlign w:val="center"/>
          </w:tcPr>
          <w:p w14:paraId="4F006B31" w14:textId="77777777" w:rsidR="008F7CE3" w:rsidRDefault="008F7CE3" w:rsidP="00F22C61">
            <w:r>
              <w:t>MMDE</w:t>
            </w:r>
          </w:p>
          <w:p w14:paraId="5E1D089F" w14:textId="77777777" w:rsidR="00DA02F3" w:rsidRDefault="00DA02F3" w:rsidP="00F22C61">
            <w:r>
              <w:t>UNDP</w:t>
            </w:r>
          </w:p>
        </w:tc>
        <w:tc>
          <w:tcPr>
            <w:tcW w:w="494" w:type="dxa"/>
            <w:vAlign w:val="center"/>
          </w:tcPr>
          <w:p w14:paraId="1AE0A317" w14:textId="77777777" w:rsidR="003D2037" w:rsidRDefault="003D2037" w:rsidP="00F22C61">
            <w:pPr>
              <w:jc w:val="center"/>
            </w:pPr>
          </w:p>
        </w:tc>
        <w:tc>
          <w:tcPr>
            <w:tcW w:w="494" w:type="dxa"/>
            <w:vAlign w:val="center"/>
          </w:tcPr>
          <w:p w14:paraId="36DD6F57" w14:textId="77777777" w:rsidR="003D2037" w:rsidRDefault="003D2037" w:rsidP="00F22C61">
            <w:pPr>
              <w:jc w:val="center"/>
            </w:pPr>
          </w:p>
        </w:tc>
        <w:tc>
          <w:tcPr>
            <w:tcW w:w="494" w:type="dxa"/>
            <w:shd w:val="clear" w:color="auto" w:fill="A6A6A6" w:themeFill="background1" w:themeFillShade="A6"/>
            <w:vAlign w:val="center"/>
          </w:tcPr>
          <w:p w14:paraId="6805291B" w14:textId="77777777" w:rsidR="003D2037" w:rsidRDefault="003D2037" w:rsidP="00F22C61">
            <w:pPr>
              <w:jc w:val="center"/>
            </w:pPr>
          </w:p>
        </w:tc>
        <w:tc>
          <w:tcPr>
            <w:tcW w:w="494" w:type="dxa"/>
            <w:shd w:val="clear" w:color="auto" w:fill="A6A6A6" w:themeFill="background1" w:themeFillShade="A6"/>
            <w:vAlign w:val="center"/>
          </w:tcPr>
          <w:p w14:paraId="2906DC1C" w14:textId="77777777" w:rsidR="003D2037" w:rsidRDefault="003D2037" w:rsidP="00F22C61">
            <w:pPr>
              <w:jc w:val="center"/>
            </w:pPr>
          </w:p>
        </w:tc>
        <w:tc>
          <w:tcPr>
            <w:tcW w:w="494" w:type="dxa"/>
            <w:shd w:val="clear" w:color="auto" w:fill="auto"/>
            <w:vAlign w:val="center"/>
          </w:tcPr>
          <w:p w14:paraId="0736D5D9" w14:textId="77777777" w:rsidR="003D2037" w:rsidRDefault="003D2037" w:rsidP="00F22C61">
            <w:pPr>
              <w:jc w:val="center"/>
            </w:pPr>
          </w:p>
        </w:tc>
        <w:tc>
          <w:tcPr>
            <w:tcW w:w="494" w:type="dxa"/>
            <w:shd w:val="clear" w:color="auto" w:fill="auto"/>
            <w:vAlign w:val="center"/>
          </w:tcPr>
          <w:p w14:paraId="5DB697BC" w14:textId="77777777" w:rsidR="003D2037" w:rsidRDefault="003D2037" w:rsidP="00F22C61">
            <w:pPr>
              <w:jc w:val="center"/>
            </w:pPr>
          </w:p>
        </w:tc>
        <w:tc>
          <w:tcPr>
            <w:tcW w:w="494" w:type="dxa"/>
            <w:shd w:val="clear" w:color="auto" w:fill="auto"/>
            <w:vAlign w:val="center"/>
          </w:tcPr>
          <w:p w14:paraId="40E7E016" w14:textId="77777777" w:rsidR="003D2037" w:rsidRDefault="003D2037" w:rsidP="00F22C61">
            <w:pPr>
              <w:jc w:val="center"/>
            </w:pPr>
          </w:p>
        </w:tc>
      </w:tr>
      <w:tr w:rsidR="001D64BF" w14:paraId="0970F281" w14:textId="77777777" w:rsidTr="001D64BF">
        <w:tc>
          <w:tcPr>
            <w:tcW w:w="2051" w:type="dxa"/>
            <w:vAlign w:val="center"/>
          </w:tcPr>
          <w:p w14:paraId="1D5E5DE3" w14:textId="77777777" w:rsidR="001D64BF" w:rsidRDefault="001D64BF" w:rsidP="00F22C61">
            <w:r>
              <w:t>Budget for Phase 1:</w:t>
            </w:r>
          </w:p>
          <w:p w14:paraId="48449672" w14:textId="77777777" w:rsidR="001D64BF" w:rsidRDefault="001D64BF" w:rsidP="00F22C61">
            <w:r w:rsidRPr="00205B1D">
              <w:t xml:space="preserve">Budget </w:t>
            </w:r>
            <w:r>
              <w:t xml:space="preserve">for </w:t>
            </w:r>
            <w:r w:rsidRPr="00205B1D">
              <w:t>Phase 2:</w:t>
            </w:r>
          </w:p>
        </w:tc>
        <w:tc>
          <w:tcPr>
            <w:tcW w:w="6966" w:type="dxa"/>
            <w:gridSpan w:val="9"/>
            <w:vAlign w:val="center"/>
          </w:tcPr>
          <w:p w14:paraId="0A4C6A1C" w14:textId="77777777" w:rsidR="001D64BF" w:rsidRDefault="001D64BF" w:rsidP="001D64BF">
            <w:r>
              <w:t xml:space="preserve">US$ </w:t>
            </w:r>
            <w:r w:rsidRPr="001E2026">
              <w:t>58,750</w:t>
            </w:r>
          </w:p>
          <w:p w14:paraId="308F6DB8" w14:textId="77777777" w:rsidR="001D64BF" w:rsidRDefault="00027021" w:rsidP="001D64BF">
            <w:r>
              <w:t>USD 10</w:t>
            </w:r>
            <w:r w:rsidR="001D64BF">
              <w:t>0,000</w:t>
            </w:r>
          </w:p>
        </w:tc>
      </w:tr>
      <w:tr w:rsidR="001D64BF" w14:paraId="236BFD1C" w14:textId="77777777" w:rsidTr="00F22C61">
        <w:tc>
          <w:tcPr>
            <w:tcW w:w="2051" w:type="dxa"/>
            <w:vAlign w:val="center"/>
          </w:tcPr>
          <w:p w14:paraId="4D13FD5A" w14:textId="77777777" w:rsidR="001D64BF" w:rsidRDefault="001D64BF" w:rsidP="00F22C61">
            <w:r>
              <w:t>Financial result</w:t>
            </w:r>
          </w:p>
        </w:tc>
        <w:tc>
          <w:tcPr>
            <w:tcW w:w="6966" w:type="dxa"/>
            <w:gridSpan w:val="9"/>
            <w:vAlign w:val="center"/>
          </w:tcPr>
          <w:p w14:paraId="12EB5245" w14:textId="77777777" w:rsidR="001D64BF" w:rsidRDefault="008B1949" w:rsidP="008B1949">
            <w:r>
              <w:t xml:space="preserve">Mobilization: </w:t>
            </w:r>
            <w:r w:rsidR="003D2037" w:rsidRPr="003D2037">
              <w:t>US$ 62,500 per annum</w:t>
            </w:r>
            <w:r>
              <w:t xml:space="preserve"> generated by adding </w:t>
            </w:r>
            <w:r w:rsidR="003D2037" w:rsidRPr="003D2037">
              <w:t xml:space="preserve">LKR 0.10 per </w:t>
            </w:r>
            <w:proofErr w:type="spellStart"/>
            <w:r w:rsidR="003D2037" w:rsidRPr="003D2037">
              <w:t>KWh</w:t>
            </w:r>
            <w:proofErr w:type="spellEnd"/>
            <w:r w:rsidR="003D2037" w:rsidRPr="003D2037">
              <w:t xml:space="preserve"> </w:t>
            </w:r>
            <w:r>
              <w:t xml:space="preserve">as PES to generate </w:t>
            </w:r>
            <w:r w:rsidR="003D2037" w:rsidRPr="003D2037">
              <w:t>add</w:t>
            </w:r>
            <w:r>
              <w:t>itional 100 GWh;</w:t>
            </w:r>
          </w:p>
          <w:p w14:paraId="68BFDC1C" w14:textId="77777777" w:rsidR="008B1949" w:rsidRDefault="008B1949" w:rsidP="008B1949">
            <w:r>
              <w:t xml:space="preserve">Saving: US$ 16 million per annum saved from thermal </w:t>
            </w:r>
            <w:proofErr w:type="gramStart"/>
            <w:r>
              <w:t>oil based</w:t>
            </w:r>
            <w:proofErr w:type="gramEnd"/>
            <w:r>
              <w:t xml:space="preserve"> electricity generation</w:t>
            </w:r>
            <w:r w:rsidR="001B6E7A">
              <w:t>; US$ 64 million for 2021-2024</w:t>
            </w:r>
          </w:p>
        </w:tc>
      </w:tr>
      <w:tr w:rsidR="001D64BF" w14:paraId="045E55A3" w14:textId="77777777" w:rsidTr="00F22C61">
        <w:tc>
          <w:tcPr>
            <w:tcW w:w="2051" w:type="dxa"/>
            <w:vAlign w:val="center"/>
          </w:tcPr>
          <w:p w14:paraId="00D9D3F9" w14:textId="77777777" w:rsidR="001D64BF" w:rsidRDefault="001D64BF" w:rsidP="00F22C61">
            <w:r>
              <w:t>Note</w:t>
            </w:r>
          </w:p>
        </w:tc>
        <w:tc>
          <w:tcPr>
            <w:tcW w:w="6966" w:type="dxa"/>
            <w:gridSpan w:val="9"/>
            <w:vAlign w:val="center"/>
          </w:tcPr>
          <w:p w14:paraId="3FA59ECB" w14:textId="77777777" w:rsidR="00D65E2B" w:rsidRDefault="00D65E2B" w:rsidP="00A40E11">
            <w:r>
              <w:t xml:space="preserve">MPRE: </w:t>
            </w:r>
            <w:r w:rsidRPr="00D65E2B">
              <w:t>Ministry of Power &amp; Renewable Energy</w:t>
            </w:r>
          </w:p>
          <w:p w14:paraId="4FC9B973" w14:textId="77777777" w:rsidR="001D64BF" w:rsidRDefault="001D64BF" w:rsidP="00A40E11">
            <w:r>
              <w:t>MMDE: Ministry of Mahaweli Development and Environment</w:t>
            </w:r>
          </w:p>
          <w:p w14:paraId="08DC3EB5" w14:textId="77777777" w:rsidR="00A40E11" w:rsidRDefault="00A40E11" w:rsidP="00A40E11">
            <w:r>
              <w:t>PUCSL: Public Utility Commission of Sri Lanka</w:t>
            </w:r>
          </w:p>
        </w:tc>
      </w:tr>
    </w:tbl>
    <w:p w14:paraId="32080450" w14:textId="77777777" w:rsidR="001D0FCA" w:rsidRDefault="001D0FCA" w:rsidP="00BB5D98">
      <w:pPr>
        <w:jc w:val="both"/>
      </w:pPr>
    </w:p>
    <w:p w14:paraId="175A19F4" w14:textId="77777777" w:rsidR="003713B8" w:rsidRDefault="003713B8" w:rsidP="00BB5D98">
      <w:pPr>
        <w:jc w:val="both"/>
      </w:pPr>
    </w:p>
    <w:p w14:paraId="789A5071" w14:textId="77777777" w:rsidR="00AA30A9" w:rsidRPr="00AA30A9" w:rsidRDefault="00096769" w:rsidP="00BB5D98">
      <w:pPr>
        <w:jc w:val="both"/>
        <w:rPr>
          <w:b/>
        </w:rPr>
      </w:pPr>
      <w:r>
        <w:rPr>
          <w:b/>
        </w:rPr>
        <w:t xml:space="preserve">6C </w:t>
      </w:r>
      <w:r w:rsidR="00AA30A9" w:rsidRPr="00AA30A9">
        <w:rPr>
          <w:b/>
        </w:rPr>
        <w:t>Payment for negative externalities of coal power generation</w:t>
      </w:r>
    </w:p>
    <w:p w14:paraId="530D0805" w14:textId="77777777" w:rsidR="00AA30A9" w:rsidRDefault="003557D4" w:rsidP="00BB5D98">
      <w:pPr>
        <w:jc w:val="both"/>
      </w:pPr>
      <w:r>
        <w:t xml:space="preserve">The finance solution is to ensure </w:t>
      </w:r>
      <w:r w:rsidRPr="003557D4">
        <w:t xml:space="preserve">payment for negative externalities of coal power generation as a supportive activity of </w:t>
      </w:r>
      <w:r>
        <w:t>PES</w:t>
      </w:r>
      <w:r w:rsidRPr="003557D4">
        <w:t xml:space="preserve"> in the Energy Sector</w:t>
      </w:r>
      <w:r w:rsidR="00047C65">
        <w:t xml:space="preserve">. The solution is aimed at </w:t>
      </w:r>
      <w:r w:rsidR="00227906">
        <w:t>a study leading to policy recommendations.</w:t>
      </w:r>
    </w:p>
    <w:p w14:paraId="35F98328" w14:textId="77777777" w:rsidR="00314FAE" w:rsidRDefault="00314FAE" w:rsidP="00BB5D98">
      <w:pPr>
        <w:jc w:val="both"/>
      </w:pPr>
      <w:r>
        <w:t>Objective</w:t>
      </w:r>
    </w:p>
    <w:p w14:paraId="4029591E" w14:textId="77777777" w:rsidR="00314FAE" w:rsidRDefault="00314FAE" w:rsidP="00BB5D98">
      <w:pPr>
        <w:jc w:val="both"/>
      </w:pPr>
      <w:r>
        <w:t>To establish a mechanism to arrest negative externalities of coal power generation under the “polluter pays” principle.</w:t>
      </w:r>
    </w:p>
    <w:p w14:paraId="0D4CA799" w14:textId="77777777" w:rsidR="00AA30A9" w:rsidRDefault="00126FA8" w:rsidP="00BB5D98">
      <w:pPr>
        <w:jc w:val="both"/>
      </w:pPr>
      <w:r>
        <w:t>Description</w:t>
      </w:r>
    </w:p>
    <w:p w14:paraId="5A2240AB" w14:textId="77777777" w:rsidR="0074674A" w:rsidRDefault="00F22C61" w:rsidP="00F22C61">
      <w:pPr>
        <w:jc w:val="both"/>
      </w:pPr>
      <w:r>
        <w:t xml:space="preserve">Coal power is generated in Sri Lanka from a single coal power plant located in </w:t>
      </w:r>
      <w:proofErr w:type="spellStart"/>
      <w:r>
        <w:t>Norocholai</w:t>
      </w:r>
      <w:proofErr w:type="spellEnd"/>
      <w:r>
        <w:t xml:space="preserve">, </w:t>
      </w:r>
      <w:proofErr w:type="spellStart"/>
      <w:r>
        <w:t>Puttlam</w:t>
      </w:r>
      <w:proofErr w:type="spellEnd"/>
      <w:r>
        <w:t xml:space="preserve"> district which has 900 MW installed power. Since the beginning of the operation of the coal power plant in 2014, its negative externalities with harmful effects on </w:t>
      </w:r>
      <w:r w:rsidR="004C6228">
        <w:t xml:space="preserve">terrestrial and marine </w:t>
      </w:r>
      <w:r>
        <w:t>biodiversity</w:t>
      </w:r>
      <w:r w:rsidR="004C6228">
        <w:t xml:space="preserve"> and ecosystems</w:t>
      </w:r>
      <w:r>
        <w:t xml:space="preserve"> as well as their health hazards became a source of controversy.</w:t>
      </w:r>
      <w:r w:rsidR="00F33CA1">
        <w:t xml:space="preserve"> It’s all visible to naked eye that coal dust and fly ashes keep polluting both terrestrial and marine environment, but there has been no study to account for the damage and the required policy measures.</w:t>
      </w:r>
      <w:r>
        <w:t xml:space="preserve"> </w:t>
      </w:r>
    </w:p>
    <w:p w14:paraId="50C647F0" w14:textId="690A1783" w:rsidR="00F22C61" w:rsidRDefault="00F22C61" w:rsidP="00F22C61">
      <w:pPr>
        <w:jc w:val="both"/>
      </w:pPr>
      <w:r>
        <w:t xml:space="preserve">However, the coal power generation has received priority in CEB’s Long Term Power Generation Expansion Plan (2015-2034), adding more fuel to the controversy among authorities, </w:t>
      </w:r>
      <w:r w:rsidR="006B6D58">
        <w:t xml:space="preserve">professionals, </w:t>
      </w:r>
      <w:r>
        <w:t xml:space="preserve">environmentalists and </w:t>
      </w:r>
      <w:r w:rsidR="006B6D58">
        <w:t xml:space="preserve">the </w:t>
      </w:r>
      <w:r>
        <w:t>general public.</w:t>
      </w:r>
      <w:r w:rsidR="0074674A">
        <w:t xml:space="preserve"> The issue has grown and intensified into a political turmoil, as no party is willing to compromise causing a </w:t>
      </w:r>
      <w:proofErr w:type="gramStart"/>
      <w:r w:rsidR="0074674A">
        <w:t>significant delays</w:t>
      </w:r>
      <w:proofErr w:type="gramEnd"/>
      <w:r w:rsidR="0074674A">
        <w:t xml:space="preserve"> in the implementation of the country’s long-term power generation plan.</w:t>
      </w:r>
    </w:p>
    <w:p w14:paraId="61C2943B" w14:textId="4B424ADE" w:rsidR="00F22C61" w:rsidRDefault="00F22C61" w:rsidP="00F22C61">
      <w:pPr>
        <w:jc w:val="both"/>
      </w:pPr>
      <w:r>
        <w:t xml:space="preserve">While the proposed pilot projects on hydro power generation are concerned with PES schemes, as a supportive activity the study on </w:t>
      </w:r>
      <w:r w:rsidR="0074674A">
        <w:t>“</w:t>
      </w:r>
      <w:r>
        <w:t>paying for negative externalities</w:t>
      </w:r>
      <w:r w:rsidR="0074674A">
        <w:t>”</w:t>
      </w:r>
      <w:r>
        <w:t xml:space="preserve"> is proposed for extending BIOFIN assistance. The study is aimed at estimating the cost of externalities of the coal power generation in Sri Lanka’s coal power plant that affects the biodiversity and ecosystems and at incorporating its costs to the power generation under the “polluter paying principle”.</w:t>
      </w:r>
    </w:p>
    <w:p w14:paraId="00BD97AB" w14:textId="77777777" w:rsidR="00126FA8" w:rsidRDefault="00F22C61" w:rsidP="00F22C61">
      <w:pPr>
        <w:jc w:val="both"/>
      </w:pPr>
      <w:r>
        <w:t>The study is proposed and undertaken by the Public Utility Commission of Sri Lanka (PUCSL) - the independent regulatory body of the utility sector</w:t>
      </w:r>
      <w:r w:rsidR="007C6956">
        <w:t>. The study is aimed at</w:t>
      </w:r>
      <w:r>
        <w:t xml:space="preserve"> </w:t>
      </w:r>
      <w:r w:rsidR="007C6956">
        <w:t>designing a</w:t>
      </w:r>
      <w:r>
        <w:t xml:space="preserve"> </w:t>
      </w:r>
      <w:r w:rsidR="007C6956">
        <w:t>payment principle for negative externalities of coal power generation and at recommending necessary amendments to the related policies and regulations</w:t>
      </w:r>
      <w:r>
        <w:t>.</w:t>
      </w:r>
    </w:p>
    <w:p w14:paraId="047034BF" w14:textId="77777777" w:rsidR="00E86309" w:rsidRDefault="00E53924" w:rsidP="00E53924">
      <w:pPr>
        <w:jc w:val="both"/>
      </w:pPr>
      <w:r>
        <w:t xml:space="preserve">The finance solution consists of a study in Phase 1 and implementation component in Phase 2. </w:t>
      </w:r>
    </w:p>
    <w:p w14:paraId="5FA42AA6" w14:textId="514E8398" w:rsidR="00CD5728" w:rsidRDefault="00E53924" w:rsidP="00E53924">
      <w:pPr>
        <w:jc w:val="both"/>
      </w:pPr>
      <w:r>
        <w:t xml:space="preserve">The proposed solution will result in </w:t>
      </w:r>
      <w:r w:rsidR="00E86309">
        <w:t xml:space="preserve">a mobilization of financial resources for conserving biodiversity as well as </w:t>
      </w:r>
      <w:r>
        <w:t xml:space="preserve">an </w:t>
      </w:r>
      <w:r w:rsidR="008E3FC0">
        <w:t xml:space="preserve">opportunity of </w:t>
      </w:r>
      <w:r>
        <w:t xml:space="preserve">avoiding future costs of </w:t>
      </w:r>
      <w:r w:rsidR="008E3FC0">
        <w:t xml:space="preserve">the </w:t>
      </w:r>
      <w:r>
        <w:t>harmful effects of power generation on biodiversity and ecosystems.</w:t>
      </w:r>
      <w:r w:rsidR="007623D2">
        <w:t xml:space="preserve"> </w:t>
      </w:r>
      <w:r w:rsidR="007623D2" w:rsidRPr="007623D2">
        <w:t>As coal power generation is about GWh 5000 a year</w:t>
      </w:r>
      <w:r w:rsidR="008E3FC0">
        <w:t xml:space="preserve"> at its current operations</w:t>
      </w:r>
      <w:r w:rsidR="007623D2" w:rsidRPr="007623D2">
        <w:t xml:space="preserve">, </w:t>
      </w:r>
      <w:r w:rsidR="008E3FC0">
        <w:t xml:space="preserve">an additional LKR 0.10 </w:t>
      </w:r>
      <w:r w:rsidR="007623D2" w:rsidRPr="007623D2">
        <w:t xml:space="preserve">per </w:t>
      </w:r>
      <w:proofErr w:type="spellStart"/>
      <w:r w:rsidR="007623D2" w:rsidRPr="007623D2">
        <w:t>KWh</w:t>
      </w:r>
      <w:proofErr w:type="spellEnd"/>
      <w:r w:rsidR="007623D2" w:rsidRPr="007623D2">
        <w:t xml:space="preserve"> is estimated to generate LKR 0.5 billion (approximately US$ 3 million) annually.</w:t>
      </w:r>
      <w:r w:rsidR="0074674A">
        <w:t xml:space="preserve"> As the cost of externalities is expected to be borne by the electricity producer, which is the CEB, it might change the electricity tariff paid by the user. Electricity tariffs are regulated by the </w:t>
      </w:r>
      <w:r w:rsidR="00123B5E">
        <w:t xml:space="preserve">PUCSL, it is necessary for the regulator to be guided by research findings to impose an externality tax and to bring about the necessary regulatory </w:t>
      </w:r>
      <w:r w:rsidR="0021587E">
        <w:t>amendments</w:t>
      </w:r>
      <w:r w:rsidR="00123B5E">
        <w:t>.</w:t>
      </w:r>
    </w:p>
    <w:p w14:paraId="38050E89" w14:textId="77777777" w:rsidR="00AF2BCC" w:rsidRDefault="0087744E" w:rsidP="00BB5D98">
      <w:pPr>
        <w:jc w:val="both"/>
      </w:pPr>
      <w:r>
        <w:t>Business case</w:t>
      </w:r>
    </w:p>
    <w:p w14:paraId="350B6B65" w14:textId="4F9AA086" w:rsidR="0087744E" w:rsidRDefault="002E60DC" w:rsidP="00BB5D98">
      <w:pPr>
        <w:jc w:val="both"/>
      </w:pPr>
      <w:r>
        <w:t xml:space="preserve">The proposal is expected to settle the ongoing controversy in the energy sector which has a cost of delaying the progress of power generation. Therefore, it </w:t>
      </w:r>
      <w:r w:rsidR="006B6D58">
        <w:t>will</w:t>
      </w:r>
      <w:r>
        <w:t xml:space="preserve"> provide a viable </w:t>
      </w:r>
      <w:r w:rsidR="006B6D58">
        <w:t>set of policies and regulations for the government to provide directions to the CEB or any other party which would generate coal power in the future and to the PUCSL which would regulate the electricity prices. The proposal is expected to be attractive to the lobbying groups engaged in the controversy.</w:t>
      </w:r>
    </w:p>
    <w:p w14:paraId="2783C7A6" w14:textId="58B57536" w:rsidR="00F822CD" w:rsidRDefault="00F822CD" w:rsidP="00BB5D98">
      <w:pPr>
        <w:jc w:val="both"/>
      </w:pPr>
      <w:r>
        <w:t xml:space="preserve">The proposal is of importance in contributing to achieve </w:t>
      </w:r>
      <w:proofErr w:type="gramStart"/>
      <w:r>
        <w:t>a number of</w:t>
      </w:r>
      <w:proofErr w:type="gramEnd"/>
      <w:r>
        <w:t xml:space="preserve"> NBSAP targets: </w:t>
      </w:r>
      <w:r w:rsidRPr="00F822CD">
        <w:t>Habitat and species loss</w:t>
      </w:r>
      <w:r w:rsidR="00C179EE">
        <w:t>es (Targets 2 and 4) resulting from externalities in the energy sector</w:t>
      </w:r>
      <w:r w:rsidRPr="00F822CD">
        <w:t xml:space="preserve"> are </w:t>
      </w:r>
      <w:r w:rsidR="00C179EE">
        <w:t>expected to decline</w:t>
      </w:r>
      <w:r w:rsidRPr="00F822CD">
        <w:t xml:space="preserve">. Sustainable use of biodiversity is </w:t>
      </w:r>
      <w:r w:rsidR="00C179EE">
        <w:t xml:space="preserve">expected to be </w:t>
      </w:r>
      <w:r w:rsidRPr="00F822CD">
        <w:t>promoted (</w:t>
      </w:r>
      <w:r w:rsidR="00C179EE">
        <w:t xml:space="preserve">Target </w:t>
      </w:r>
      <w:r w:rsidRPr="00F822CD">
        <w:t>6)</w:t>
      </w:r>
      <w:r w:rsidR="00C179EE">
        <w:t>, while e</w:t>
      </w:r>
      <w:r w:rsidRPr="00F822CD">
        <w:t>cosystem capacity to provide goods and services is</w:t>
      </w:r>
      <w:r w:rsidR="00C179EE">
        <w:t xml:space="preserve"> expected to</w:t>
      </w:r>
      <w:r w:rsidRPr="00F822CD">
        <w:t xml:space="preserve"> enhance</w:t>
      </w:r>
      <w:r w:rsidR="00C179EE">
        <w:t xml:space="preserve"> (Target </w:t>
      </w:r>
      <w:r w:rsidRPr="00F822CD">
        <w:t>11)</w:t>
      </w:r>
      <w:r w:rsidR="00C179EE">
        <w:t xml:space="preserve"> through the solution</w:t>
      </w:r>
      <w:r w:rsidRPr="00F822CD">
        <w:t>.</w:t>
      </w:r>
    </w:p>
    <w:p w14:paraId="1223E26D" w14:textId="77777777" w:rsidR="00AF2BCC" w:rsidRDefault="006B6D58" w:rsidP="00BB5D98">
      <w:pPr>
        <w:jc w:val="both"/>
      </w:pPr>
      <w:r>
        <w:t>Responsibility</w:t>
      </w:r>
    </w:p>
    <w:p w14:paraId="05B2362F" w14:textId="77777777" w:rsidR="006B6D58" w:rsidRDefault="006B6D58" w:rsidP="00BB5D98">
      <w:pPr>
        <w:jc w:val="both"/>
      </w:pPr>
      <w:r>
        <w:t xml:space="preserve">The study is undertaken by the PUCSL which will propose policy recommendations to the government. The CEB is expected to undertake the responsibilities in implementing the payment system. The </w:t>
      </w:r>
      <w:r w:rsidR="005D2315">
        <w:t xml:space="preserve">Ministry of Power and Renewable Energy </w:t>
      </w:r>
      <w:r>
        <w:t>will bring about the necessary amendments to the policies and regulations</w:t>
      </w:r>
      <w:r w:rsidR="005D2315">
        <w:t xml:space="preserve">, which need to be approved by the </w:t>
      </w:r>
      <w:r w:rsidR="00593962">
        <w:t>government</w:t>
      </w:r>
      <w:r>
        <w:t>.</w:t>
      </w:r>
    </w:p>
    <w:p w14:paraId="7FDA4BB6" w14:textId="455C3ABB" w:rsidR="003713B8" w:rsidRDefault="003713B8" w:rsidP="00BB5D98">
      <w:pPr>
        <w:jc w:val="both"/>
      </w:pPr>
      <w:r>
        <w:t>Financial result</w:t>
      </w:r>
    </w:p>
    <w:p w14:paraId="1A6AE6C8" w14:textId="0FF46AB5" w:rsidR="003713B8" w:rsidRDefault="003713B8" w:rsidP="003713B8">
      <w:pPr>
        <w:jc w:val="both"/>
      </w:pPr>
      <w:r>
        <w:t xml:space="preserve">The finance solution is expected to result in a generation of finances. An addition of LKR 10 Cents per </w:t>
      </w:r>
      <w:proofErr w:type="spellStart"/>
      <w:r>
        <w:t>KWh</w:t>
      </w:r>
      <w:proofErr w:type="spellEnd"/>
      <w:r>
        <w:t xml:space="preserve"> to coal power generation cost would raise cost of coal power marginally, but it will be still much cheaper than thermal oil power. As coal power generation is about GWh 5000 a year, the additional LKR 10 Cents per </w:t>
      </w:r>
      <w:proofErr w:type="spellStart"/>
      <w:r>
        <w:t>KWh</w:t>
      </w:r>
      <w:proofErr w:type="spellEnd"/>
      <w:r>
        <w:t xml:space="preserve"> is estimated to generate LKR 0.5 billion (approximately US$ 3 million) annually. It is a significant amount of finance mobilization to undertake corrective measures to conserve biodiversity by reducing the negative externalities of coal power generation.</w:t>
      </w:r>
    </w:p>
    <w:p w14:paraId="3DF602E2" w14:textId="0BFD5A2E" w:rsidR="0068330E" w:rsidRDefault="0068330E" w:rsidP="003713B8">
      <w:pPr>
        <w:jc w:val="both"/>
      </w:pPr>
      <w:r>
        <w:t xml:space="preserve">The proposed solution will result in a financing system with multiple </w:t>
      </w:r>
      <w:r w:rsidR="008A1FCB">
        <w:t>mechanisms</w:t>
      </w:r>
      <w:r>
        <w:t xml:space="preserve"> of paying </w:t>
      </w:r>
      <w:r w:rsidR="008A1FCB">
        <w:t xml:space="preserve">for negative externalities. These include partly </w:t>
      </w:r>
      <w:r w:rsidR="008A1FCB" w:rsidRPr="008A1FCB">
        <w:t xml:space="preserve">compensation payments, partly restoration payments </w:t>
      </w:r>
      <w:r w:rsidR="008A1FCB">
        <w:t>and</w:t>
      </w:r>
      <w:r w:rsidR="008A1FCB" w:rsidRPr="008A1FCB">
        <w:t xml:space="preserve"> investments in cleaner production that mitigate future pollution</w:t>
      </w:r>
      <w:r w:rsidR="008A1FCB">
        <w:t>.</w:t>
      </w:r>
    </w:p>
    <w:p w14:paraId="20D56099" w14:textId="77777777" w:rsidR="006B6D58" w:rsidRDefault="00593962" w:rsidP="00BB5D98">
      <w:pPr>
        <w:jc w:val="both"/>
      </w:pPr>
      <w:r>
        <w:t>Action plan</w:t>
      </w:r>
    </w:p>
    <w:tbl>
      <w:tblPr>
        <w:tblStyle w:val="TableGrid"/>
        <w:tblW w:w="0" w:type="auto"/>
        <w:tblLook w:val="04A0" w:firstRow="1" w:lastRow="0" w:firstColumn="1" w:lastColumn="0" w:noHBand="0" w:noVBand="1"/>
      </w:tblPr>
      <w:tblGrid>
        <w:gridCol w:w="2014"/>
        <w:gridCol w:w="2039"/>
        <w:gridCol w:w="1506"/>
        <w:gridCol w:w="494"/>
        <w:gridCol w:w="494"/>
        <w:gridCol w:w="494"/>
        <w:gridCol w:w="494"/>
        <w:gridCol w:w="494"/>
        <w:gridCol w:w="494"/>
        <w:gridCol w:w="494"/>
      </w:tblGrid>
      <w:tr w:rsidR="00BF54F0" w14:paraId="6D424C7C" w14:textId="77777777" w:rsidTr="002B2AEE">
        <w:tc>
          <w:tcPr>
            <w:tcW w:w="2014" w:type="dxa"/>
            <w:vMerge w:val="restart"/>
            <w:vAlign w:val="center"/>
          </w:tcPr>
          <w:p w14:paraId="34E797E9" w14:textId="77777777" w:rsidR="00BF54F0" w:rsidRPr="00C27851" w:rsidRDefault="00BF54F0" w:rsidP="00875746">
            <w:pPr>
              <w:jc w:val="center"/>
            </w:pPr>
            <w:r w:rsidRPr="00C27851">
              <w:t>Output</w:t>
            </w:r>
          </w:p>
        </w:tc>
        <w:tc>
          <w:tcPr>
            <w:tcW w:w="2039" w:type="dxa"/>
            <w:vMerge w:val="restart"/>
            <w:vAlign w:val="center"/>
          </w:tcPr>
          <w:p w14:paraId="33BBA6AE" w14:textId="77777777" w:rsidR="00BF54F0" w:rsidRPr="00C27851" w:rsidRDefault="00BF54F0" w:rsidP="00875746">
            <w:pPr>
              <w:jc w:val="center"/>
            </w:pPr>
            <w:r w:rsidRPr="00C27851">
              <w:t>Main activities</w:t>
            </w:r>
          </w:p>
        </w:tc>
        <w:tc>
          <w:tcPr>
            <w:tcW w:w="1506" w:type="dxa"/>
            <w:vMerge w:val="restart"/>
            <w:vAlign w:val="center"/>
          </w:tcPr>
          <w:p w14:paraId="40F61D4E" w14:textId="77777777" w:rsidR="00BF54F0" w:rsidRPr="00C27851" w:rsidRDefault="00BF54F0" w:rsidP="00875746">
            <w:pPr>
              <w:jc w:val="center"/>
            </w:pPr>
            <w:r w:rsidRPr="00C27851">
              <w:t>Responsibility</w:t>
            </w:r>
          </w:p>
        </w:tc>
        <w:tc>
          <w:tcPr>
            <w:tcW w:w="3458" w:type="dxa"/>
            <w:gridSpan w:val="7"/>
            <w:vAlign w:val="center"/>
          </w:tcPr>
          <w:p w14:paraId="3CCF06BD" w14:textId="77777777" w:rsidR="00BF54F0" w:rsidRPr="00C27851" w:rsidRDefault="00BF54F0" w:rsidP="00875746">
            <w:pPr>
              <w:jc w:val="center"/>
            </w:pPr>
            <w:r w:rsidRPr="00C27851">
              <w:t>Year</w:t>
            </w:r>
          </w:p>
        </w:tc>
      </w:tr>
      <w:tr w:rsidR="00BF54F0" w14:paraId="23C5A1EF" w14:textId="77777777" w:rsidTr="002B2AEE">
        <w:tc>
          <w:tcPr>
            <w:tcW w:w="2014" w:type="dxa"/>
            <w:vMerge/>
            <w:vAlign w:val="center"/>
          </w:tcPr>
          <w:p w14:paraId="237D2A5C" w14:textId="77777777" w:rsidR="00BF54F0" w:rsidRDefault="00BF54F0" w:rsidP="00875746">
            <w:pPr>
              <w:jc w:val="center"/>
            </w:pPr>
          </w:p>
        </w:tc>
        <w:tc>
          <w:tcPr>
            <w:tcW w:w="2039" w:type="dxa"/>
            <w:vMerge/>
            <w:vAlign w:val="center"/>
          </w:tcPr>
          <w:p w14:paraId="13CEC1E6" w14:textId="77777777" w:rsidR="00BF54F0" w:rsidRDefault="00BF54F0" w:rsidP="00875746">
            <w:pPr>
              <w:jc w:val="center"/>
            </w:pPr>
          </w:p>
        </w:tc>
        <w:tc>
          <w:tcPr>
            <w:tcW w:w="1506" w:type="dxa"/>
            <w:vMerge/>
            <w:vAlign w:val="center"/>
          </w:tcPr>
          <w:p w14:paraId="7DF14A0D" w14:textId="77777777" w:rsidR="00BF54F0" w:rsidRDefault="00BF54F0" w:rsidP="00875746">
            <w:pPr>
              <w:jc w:val="center"/>
            </w:pPr>
          </w:p>
        </w:tc>
        <w:tc>
          <w:tcPr>
            <w:tcW w:w="494" w:type="dxa"/>
            <w:vAlign w:val="center"/>
          </w:tcPr>
          <w:p w14:paraId="2CB2C916" w14:textId="77777777" w:rsidR="00BF54F0" w:rsidRDefault="00BF54F0" w:rsidP="00875746">
            <w:pPr>
              <w:jc w:val="center"/>
            </w:pPr>
            <w:r w:rsidRPr="00C27851">
              <w:t>‘18</w:t>
            </w:r>
          </w:p>
        </w:tc>
        <w:tc>
          <w:tcPr>
            <w:tcW w:w="494" w:type="dxa"/>
            <w:vAlign w:val="center"/>
          </w:tcPr>
          <w:p w14:paraId="61D92E47" w14:textId="77777777" w:rsidR="00BF54F0" w:rsidRDefault="00BF54F0" w:rsidP="00875746">
            <w:pPr>
              <w:jc w:val="center"/>
            </w:pPr>
            <w:r w:rsidRPr="00C27851">
              <w:t>‘19</w:t>
            </w:r>
          </w:p>
        </w:tc>
        <w:tc>
          <w:tcPr>
            <w:tcW w:w="494" w:type="dxa"/>
            <w:vAlign w:val="center"/>
          </w:tcPr>
          <w:p w14:paraId="63D1391A" w14:textId="77777777" w:rsidR="00BF54F0" w:rsidRDefault="00BF54F0" w:rsidP="00875746">
            <w:pPr>
              <w:jc w:val="center"/>
            </w:pPr>
            <w:r w:rsidRPr="00C27851">
              <w:t>‘20</w:t>
            </w:r>
          </w:p>
        </w:tc>
        <w:tc>
          <w:tcPr>
            <w:tcW w:w="494" w:type="dxa"/>
            <w:vAlign w:val="center"/>
          </w:tcPr>
          <w:p w14:paraId="6C887615" w14:textId="77777777" w:rsidR="00BF54F0" w:rsidRDefault="00BF54F0" w:rsidP="00875746">
            <w:pPr>
              <w:jc w:val="center"/>
            </w:pPr>
            <w:r w:rsidRPr="00C27851">
              <w:t>‘21</w:t>
            </w:r>
          </w:p>
        </w:tc>
        <w:tc>
          <w:tcPr>
            <w:tcW w:w="494" w:type="dxa"/>
            <w:vAlign w:val="center"/>
          </w:tcPr>
          <w:p w14:paraId="4A26E316" w14:textId="77777777" w:rsidR="00BF54F0" w:rsidRDefault="00BF54F0" w:rsidP="00875746">
            <w:pPr>
              <w:jc w:val="center"/>
            </w:pPr>
            <w:r w:rsidRPr="00C27851">
              <w:t>‘22</w:t>
            </w:r>
          </w:p>
        </w:tc>
        <w:tc>
          <w:tcPr>
            <w:tcW w:w="494" w:type="dxa"/>
            <w:vAlign w:val="center"/>
          </w:tcPr>
          <w:p w14:paraId="50E2ACB7" w14:textId="77777777" w:rsidR="00BF54F0" w:rsidRDefault="00BF54F0" w:rsidP="00875746">
            <w:pPr>
              <w:jc w:val="center"/>
            </w:pPr>
            <w:r w:rsidRPr="00C27851">
              <w:t>‘23</w:t>
            </w:r>
          </w:p>
        </w:tc>
        <w:tc>
          <w:tcPr>
            <w:tcW w:w="494" w:type="dxa"/>
            <w:vAlign w:val="center"/>
          </w:tcPr>
          <w:p w14:paraId="2308CDA3" w14:textId="77777777" w:rsidR="00BF54F0" w:rsidRDefault="00BF54F0" w:rsidP="00875746">
            <w:pPr>
              <w:jc w:val="center"/>
            </w:pPr>
            <w:r w:rsidRPr="00C27851">
              <w:t>‘24</w:t>
            </w:r>
          </w:p>
        </w:tc>
      </w:tr>
      <w:tr w:rsidR="00BF54F0" w14:paraId="1CEB7011" w14:textId="77777777" w:rsidTr="002B2AEE">
        <w:tc>
          <w:tcPr>
            <w:tcW w:w="2014" w:type="dxa"/>
            <w:vAlign w:val="center"/>
          </w:tcPr>
          <w:p w14:paraId="6FE21EBF" w14:textId="77777777" w:rsidR="00BF54F0" w:rsidRDefault="00BF54F0" w:rsidP="002B2AEE">
            <w:r>
              <w:t>PHASE 1</w:t>
            </w:r>
          </w:p>
        </w:tc>
        <w:tc>
          <w:tcPr>
            <w:tcW w:w="2039" w:type="dxa"/>
            <w:vAlign w:val="center"/>
          </w:tcPr>
          <w:p w14:paraId="50C265D2" w14:textId="77777777" w:rsidR="00BF54F0" w:rsidRDefault="00BF54F0" w:rsidP="002B2AEE"/>
        </w:tc>
        <w:tc>
          <w:tcPr>
            <w:tcW w:w="1506" w:type="dxa"/>
            <w:vAlign w:val="center"/>
          </w:tcPr>
          <w:p w14:paraId="4CC8FA70" w14:textId="77777777" w:rsidR="00BF54F0" w:rsidRDefault="00BF54F0" w:rsidP="002B2AEE"/>
        </w:tc>
        <w:tc>
          <w:tcPr>
            <w:tcW w:w="494" w:type="dxa"/>
            <w:shd w:val="clear" w:color="auto" w:fill="FFFFFF" w:themeFill="background1"/>
            <w:vAlign w:val="center"/>
          </w:tcPr>
          <w:p w14:paraId="553C69A9" w14:textId="77777777" w:rsidR="00BF54F0" w:rsidRDefault="00BF54F0" w:rsidP="00875746">
            <w:pPr>
              <w:jc w:val="center"/>
            </w:pPr>
          </w:p>
        </w:tc>
        <w:tc>
          <w:tcPr>
            <w:tcW w:w="494" w:type="dxa"/>
            <w:vAlign w:val="center"/>
          </w:tcPr>
          <w:p w14:paraId="09AE6378" w14:textId="77777777" w:rsidR="00BF54F0" w:rsidRDefault="00BF54F0" w:rsidP="00875746">
            <w:pPr>
              <w:jc w:val="center"/>
            </w:pPr>
          </w:p>
        </w:tc>
        <w:tc>
          <w:tcPr>
            <w:tcW w:w="494" w:type="dxa"/>
            <w:vAlign w:val="center"/>
          </w:tcPr>
          <w:p w14:paraId="022ABBBA" w14:textId="77777777" w:rsidR="00BF54F0" w:rsidRDefault="00BF54F0" w:rsidP="00875746">
            <w:pPr>
              <w:jc w:val="center"/>
            </w:pPr>
          </w:p>
        </w:tc>
        <w:tc>
          <w:tcPr>
            <w:tcW w:w="494" w:type="dxa"/>
            <w:vAlign w:val="center"/>
          </w:tcPr>
          <w:p w14:paraId="3C708CD6" w14:textId="77777777" w:rsidR="00BF54F0" w:rsidRDefault="00BF54F0" w:rsidP="00875746">
            <w:pPr>
              <w:jc w:val="center"/>
            </w:pPr>
          </w:p>
        </w:tc>
        <w:tc>
          <w:tcPr>
            <w:tcW w:w="494" w:type="dxa"/>
            <w:vAlign w:val="center"/>
          </w:tcPr>
          <w:p w14:paraId="44D7C569" w14:textId="77777777" w:rsidR="00BF54F0" w:rsidRDefault="00BF54F0" w:rsidP="00875746">
            <w:pPr>
              <w:jc w:val="center"/>
            </w:pPr>
          </w:p>
        </w:tc>
        <w:tc>
          <w:tcPr>
            <w:tcW w:w="494" w:type="dxa"/>
            <w:vAlign w:val="center"/>
          </w:tcPr>
          <w:p w14:paraId="24BD2B8E" w14:textId="77777777" w:rsidR="00BF54F0" w:rsidRDefault="00BF54F0" w:rsidP="00875746">
            <w:pPr>
              <w:jc w:val="center"/>
            </w:pPr>
          </w:p>
        </w:tc>
        <w:tc>
          <w:tcPr>
            <w:tcW w:w="494" w:type="dxa"/>
            <w:vAlign w:val="center"/>
          </w:tcPr>
          <w:p w14:paraId="083CBB55" w14:textId="77777777" w:rsidR="00BF54F0" w:rsidRDefault="00BF54F0" w:rsidP="00875746">
            <w:pPr>
              <w:jc w:val="center"/>
            </w:pPr>
          </w:p>
        </w:tc>
      </w:tr>
      <w:tr w:rsidR="006868CE" w14:paraId="23449ED9" w14:textId="77777777" w:rsidTr="006868CE">
        <w:tc>
          <w:tcPr>
            <w:tcW w:w="2014" w:type="dxa"/>
            <w:vMerge w:val="restart"/>
            <w:vAlign w:val="center"/>
          </w:tcPr>
          <w:p w14:paraId="6913D060" w14:textId="77777777" w:rsidR="006868CE" w:rsidRDefault="006868CE" w:rsidP="006868CE">
            <w:r>
              <w:t xml:space="preserve">Assessment of negative externalities of </w:t>
            </w:r>
            <w:proofErr w:type="spellStart"/>
            <w:r>
              <w:t>Puttlam</w:t>
            </w:r>
            <w:proofErr w:type="spellEnd"/>
            <w:r>
              <w:t xml:space="preserve"> Coal Power plant</w:t>
            </w:r>
          </w:p>
        </w:tc>
        <w:tc>
          <w:tcPr>
            <w:tcW w:w="2039" w:type="dxa"/>
            <w:vAlign w:val="center"/>
          </w:tcPr>
          <w:p w14:paraId="382DF028" w14:textId="77777777" w:rsidR="006868CE" w:rsidRDefault="006868CE" w:rsidP="002B2AEE">
            <w:r>
              <w:t>Reviewing technical literature</w:t>
            </w:r>
          </w:p>
        </w:tc>
        <w:tc>
          <w:tcPr>
            <w:tcW w:w="1506" w:type="dxa"/>
            <w:vAlign w:val="center"/>
          </w:tcPr>
          <w:p w14:paraId="5562FCFB" w14:textId="77777777" w:rsidR="006868CE" w:rsidRDefault="00672A4C" w:rsidP="002B2AEE">
            <w:r>
              <w:t>PUCSL</w:t>
            </w:r>
          </w:p>
        </w:tc>
        <w:tc>
          <w:tcPr>
            <w:tcW w:w="494" w:type="dxa"/>
            <w:shd w:val="clear" w:color="auto" w:fill="BFBFBF" w:themeFill="background1" w:themeFillShade="BF"/>
            <w:vAlign w:val="center"/>
          </w:tcPr>
          <w:p w14:paraId="519009D7" w14:textId="77777777" w:rsidR="006868CE" w:rsidRDefault="006868CE" w:rsidP="00875746">
            <w:pPr>
              <w:jc w:val="center"/>
            </w:pPr>
          </w:p>
        </w:tc>
        <w:tc>
          <w:tcPr>
            <w:tcW w:w="494" w:type="dxa"/>
            <w:shd w:val="clear" w:color="auto" w:fill="FFFFFF" w:themeFill="background1"/>
            <w:vAlign w:val="center"/>
          </w:tcPr>
          <w:p w14:paraId="1DD66316" w14:textId="77777777" w:rsidR="006868CE" w:rsidRDefault="006868CE" w:rsidP="00875746">
            <w:pPr>
              <w:jc w:val="center"/>
            </w:pPr>
          </w:p>
        </w:tc>
        <w:tc>
          <w:tcPr>
            <w:tcW w:w="494" w:type="dxa"/>
            <w:vAlign w:val="center"/>
          </w:tcPr>
          <w:p w14:paraId="44A3FEA3" w14:textId="77777777" w:rsidR="006868CE" w:rsidRDefault="006868CE" w:rsidP="00875746">
            <w:pPr>
              <w:jc w:val="center"/>
            </w:pPr>
          </w:p>
        </w:tc>
        <w:tc>
          <w:tcPr>
            <w:tcW w:w="494" w:type="dxa"/>
            <w:vAlign w:val="center"/>
          </w:tcPr>
          <w:p w14:paraId="626C7D2B" w14:textId="77777777" w:rsidR="006868CE" w:rsidRDefault="006868CE" w:rsidP="00875746">
            <w:pPr>
              <w:jc w:val="center"/>
            </w:pPr>
          </w:p>
        </w:tc>
        <w:tc>
          <w:tcPr>
            <w:tcW w:w="494" w:type="dxa"/>
            <w:vAlign w:val="center"/>
          </w:tcPr>
          <w:p w14:paraId="770ABF2C" w14:textId="77777777" w:rsidR="006868CE" w:rsidRDefault="006868CE" w:rsidP="00875746">
            <w:pPr>
              <w:jc w:val="center"/>
            </w:pPr>
          </w:p>
        </w:tc>
        <w:tc>
          <w:tcPr>
            <w:tcW w:w="494" w:type="dxa"/>
            <w:vAlign w:val="center"/>
          </w:tcPr>
          <w:p w14:paraId="7254F20B" w14:textId="77777777" w:rsidR="006868CE" w:rsidRDefault="006868CE" w:rsidP="00875746">
            <w:pPr>
              <w:jc w:val="center"/>
            </w:pPr>
          </w:p>
        </w:tc>
        <w:tc>
          <w:tcPr>
            <w:tcW w:w="494" w:type="dxa"/>
            <w:vAlign w:val="center"/>
          </w:tcPr>
          <w:p w14:paraId="3FD681F6" w14:textId="77777777" w:rsidR="006868CE" w:rsidRDefault="006868CE" w:rsidP="00875746">
            <w:pPr>
              <w:jc w:val="center"/>
            </w:pPr>
          </w:p>
        </w:tc>
      </w:tr>
      <w:tr w:rsidR="006868CE" w14:paraId="2A0692A7" w14:textId="77777777" w:rsidTr="006868CE">
        <w:tc>
          <w:tcPr>
            <w:tcW w:w="2014" w:type="dxa"/>
            <w:vMerge/>
            <w:vAlign w:val="center"/>
          </w:tcPr>
          <w:p w14:paraId="1A8EB490" w14:textId="77777777" w:rsidR="006868CE" w:rsidRDefault="006868CE" w:rsidP="002B2AEE"/>
        </w:tc>
        <w:tc>
          <w:tcPr>
            <w:tcW w:w="2039" w:type="dxa"/>
            <w:vAlign w:val="center"/>
          </w:tcPr>
          <w:p w14:paraId="6FB1C7F5" w14:textId="77777777" w:rsidR="006868CE" w:rsidRDefault="006868CE" w:rsidP="002B2AEE">
            <w:r>
              <w:t>Assessment of coal power generation at Coal Power plant</w:t>
            </w:r>
          </w:p>
        </w:tc>
        <w:tc>
          <w:tcPr>
            <w:tcW w:w="1506" w:type="dxa"/>
            <w:vAlign w:val="center"/>
          </w:tcPr>
          <w:p w14:paraId="1251056E" w14:textId="77777777" w:rsidR="006868CE" w:rsidRDefault="00672A4C" w:rsidP="002B2AEE">
            <w:r>
              <w:t>PUCSL</w:t>
            </w:r>
          </w:p>
        </w:tc>
        <w:tc>
          <w:tcPr>
            <w:tcW w:w="494" w:type="dxa"/>
            <w:shd w:val="clear" w:color="auto" w:fill="BFBFBF" w:themeFill="background1" w:themeFillShade="BF"/>
            <w:vAlign w:val="center"/>
          </w:tcPr>
          <w:p w14:paraId="494A1784" w14:textId="77777777" w:rsidR="006868CE" w:rsidRDefault="006868CE" w:rsidP="00875746">
            <w:pPr>
              <w:jc w:val="center"/>
            </w:pPr>
          </w:p>
        </w:tc>
        <w:tc>
          <w:tcPr>
            <w:tcW w:w="494" w:type="dxa"/>
            <w:shd w:val="clear" w:color="auto" w:fill="FFFFFF" w:themeFill="background1"/>
            <w:vAlign w:val="center"/>
          </w:tcPr>
          <w:p w14:paraId="3A74F287" w14:textId="77777777" w:rsidR="006868CE" w:rsidRDefault="006868CE" w:rsidP="00875746">
            <w:pPr>
              <w:jc w:val="center"/>
            </w:pPr>
          </w:p>
        </w:tc>
        <w:tc>
          <w:tcPr>
            <w:tcW w:w="494" w:type="dxa"/>
            <w:shd w:val="clear" w:color="auto" w:fill="FFFFFF" w:themeFill="background1"/>
            <w:vAlign w:val="center"/>
          </w:tcPr>
          <w:p w14:paraId="3388FB23" w14:textId="77777777" w:rsidR="006868CE" w:rsidRDefault="006868CE" w:rsidP="00875746">
            <w:pPr>
              <w:jc w:val="center"/>
            </w:pPr>
          </w:p>
        </w:tc>
        <w:tc>
          <w:tcPr>
            <w:tcW w:w="494" w:type="dxa"/>
            <w:shd w:val="clear" w:color="auto" w:fill="FFFFFF" w:themeFill="background1"/>
            <w:vAlign w:val="center"/>
          </w:tcPr>
          <w:p w14:paraId="29173C3E" w14:textId="77777777" w:rsidR="006868CE" w:rsidRDefault="006868CE" w:rsidP="00875746">
            <w:pPr>
              <w:jc w:val="center"/>
            </w:pPr>
          </w:p>
        </w:tc>
        <w:tc>
          <w:tcPr>
            <w:tcW w:w="494" w:type="dxa"/>
            <w:vAlign w:val="center"/>
          </w:tcPr>
          <w:p w14:paraId="7B6ED7C8" w14:textId="77777777" w:rsidR="006868CE" w:rsidRDefault="006868CE" w:rsidP="00875746">
            <w:pPr>
              <w:jc w:val="center"/>
            </w:pPr>
          </w:p>
        </w:tc>
        <w:tc>
          <w:tcPr>
            <w:tcW w:w="494" w:type="dxa"/>
            <w:vAlign w:val="center"/>
          </w:tcPr>
          <w:p w14:paraId="66591BE0" w14:textId="77777777" w:rsidR="006868CE" w:rsidRDefault="006868CE" w:rsidP="00875746">
            <w:pPr>
              <w:jc w:val="center"/>
            </w:pPr>
          </w:p>
        </w:tc>
        <w:tc>
          <w:tcPr>
            <w:tcW w:w="494" w:type="dxa"/>
            <w:vAlign w:val="center"/>
          </w:tcPr>
          <w:p w14:paraId="038F42E9" w14:textId="77777777" w:rsidR="006868CE" w:rsidRDefault="006868CE" w:rsidP="00875746">
            <w:pPr>
              <w:jc w:val="center"/>
            </w:pPr>
          </w:p>
        </w:tc>
      </w:tr>
      <w:tr w:rsidR="006868CE" w14:paraId="2723909B" w14:textId="77777777" w:rsidTr="007951AC">
        <w:tc>
          <w:tcPr>
            <w:tcW w:w="2014" w:type="dxa"/>
            <w:vMerge/>
            <w:vAlign w:val="center"/>
          </w:tcPr>
          <w:p w14:paraId="5934D860" w14:textId="77777777" w:rsidR="006868CE" w:rsidRDefault="006868CE" w:rsidP="002B2AEE"/>
        </w:tc>
        <w:tc>
          <w:tcPr>
            <w:tcW w:w="2039" w:type="dxa"/>
            <w:vAlign w:val="center"/>
          </w:tcPr>
          <w:p w14:paraId="5B5DAE32" w14:textId="2703B9B2" w:rsidR="006868CE" w:rsidRDefault="006868CE" w:rsidP="007C2771">
            <w:r>
              <w:t xml:space="preserve">Designing the </w:t>
            </w:r>
            <w:r w:rsidR="007C2771">
              <w:t>financing</w:t>
            </w:r>
            <w:r>
              <w:t xml:space="preserve"> system</w:t>
            </w:r>
          </w:p>
        </w:tc>
        <w:tc>
          <w:tcPr>
            <w:tcW w:w="1506" w:type="dxa"/>
            <w:vAlign w:val="center"/>
          </w:tcPr>
          <w:p w14:paraId="33F08D68" w14:textId="77777777" w:rsidR="006868CE" w:rsidRDefault="00672A4C" w:rsidP="002B2AEE">
            <w:r>
              <w:t>PUCSL</w:t>
            </w:r>
          </w:p>
        </w:tc>
        <w:tc>
          <w:tcPr>
            <w:tcW w:w="494" w:type="dxa"/>
            <w:shd w:val="clear" w:color="auto" w:fill="BFBFBF" w:themeFill="background1" w:themeFillShade="BF"/>
            <w:vAlign w:val="center"/>
          </w:tcPr>
          <w:p w14:paraId="2E6D8F12" w14:textId="77777777" w:rsidR="006868CE" w:rsidRDefault="006868CE" w:rsidP="00875746">
            <w:pPr>
              <w:jc w:val="center"/>
            </w:pPr>
          </w:p>
        </w:tc>
        <w:tc>
          <w:tcPr>
            <w:tcW w:w="494" w:type="dxa"/>
            <w:shd w:val="clear" w:color="auto" w:fill="BFBFBF" w:themeFill="background1" w:themeFillShade="BF"/>
            <w:vAlign w:val="center"/>
          </w:tcPr>
          <w:p w14:paraId="3C167989" w14:textId="77777777" w:rsidR="006868CE" w:rsidRDefault="006868CE" w:rsidP="00875746">
            <w:pPr>
              <w:jc w:val="center"/>
            </w:pPr>
          </w:p>
        </w:tc>
        <w:tc>
          <w:tcPr>
            <w:tcW w:w="494" w:type="dxa"/>
            <w:vAlign w:val="center"/>
          </w:tcPr>
          <w:p w14:paraId="454147FF" w14:textId="77777777" w:rsidR="006868CE" w:rsidRDefault="006868CE" w:rsidP="00875746">
            <w:pPr>
              <w:jc w:val="center"/>
            </w:pPr>
          </w:p>
        </w:tc>
        <w:tc>
          <w:tcPr>
            <w:tcW w:w="494" w:type="dxa"/>
            <w:vAlign w:val="center"/>
          </w:tcPr>
          <w:p w14:paraId="7473E98F" w14:textId="77777777" w:rsidR="006868CE" w:rsidRDefault="006868CE" w:rsidP="00875746">
            <w:pPr>
              <w:jc w:val="center"/>
            </w:pPr>
          </w:p>
        </w:tc>
        <w:tc>
          <w:tcPr>
            <w:tcW w:w="494" w:type="dxa"/>
            <w:vAlign w:val="center"/>
          </w:tcPr>
          <w:p w14:paraId="1DD410AE" w14:textId="77777777" w:rsidR="006868CE" w:rsidRDefault="006868CE" w:rsidP="00875746">
            <w:pPr>
              <w:jc w:val="center"/>
            </w:pPr>
          </w:p>
        </w:tc>
        <w:tc>
          <w:tcPr>
            <w:tcW w:w="494" w:type="dxa"/>
            <w:vAlign w:val="center"/>
          </w:tcPr>
          <w:p w14:paraId="6B90B541" w14:textId="77777777" w:rsidR="006868CE" w:rsidRDefault="006868CE" w:rsidP="00875746">
            <w:pPr>
              <w:jc w:val="center"/>
            </w:pPr>
          </w:p>
        </w:tc>
        <w:tc>
          <w:tcPr>
            <w:tcW w:w="494" w:type="dxa"/>
            <w:vAlign w:val="center"/>
          </w:tcPr>
          <w:p w14:paraId="29867AD9" w14:textId="77777777" w:rsidR="006868CE" w:rsidRDefault="006868CE" w:rsidP="00875746">
            <w:pPr>
              <w:jc w:val="center"/>
            </w:pPr>
          </w:p>
        </w:tc>
      </w:tr>
      <w:tr w:rsidR="006868CE" w14:paraId="1E24D676" w14:textId="77777777" w:rsidTr="007951AC">
        <w:tc>
          <w:tcPr>
            <w:tcW w:w="2014" w:type="dxa"/>
            <w:vMerge/>
            <w:vAlign w:val="center"/>
          </w:tcPr>
          <w:p w14:paraId="1A6F3F83" w14:textId="77777777" w:rsidR="006868CE" w:rsidRDefault="006868CE" w:rsidP="002B2AEE"/>
        </w:tc>
        <w:tc>
          <w:tcPr>
            <w:tcW w:w="2039" w:type="dxa"/>
            <w:vAlign w:val="center"/>
          </w:tcPr>
          <w:p w14:paraId="38E436B8" w14:textId="77777777" w:rsidR="006868CE" w:rsidRDefault="006868CE" w:rsidP="002B2AEE">
            <w:r>
              <w:t>Policy and institutional review</w:t>
            </w:r>
          </w:p>
        </w:tc>
        <w:tc>
          <w:tcPr>
            <w:tcW w:w="1506" w:type="dxa"/>
            <w:vAlign w:val="center"/>
          </w:tcPr>
          <w:p w14:paraId="2613F82D" w14:textId="77777777" w:rsidR="006868CE" w:rsidRDefault="00672A4C" w:rsidP="002B2AEE">
            <w:r>
              <w:t>PUCSL</w:t>
            </w:r>
          </w:p>
        </w:tc>
        <w:tc>
          <w:tcPr>
            <w:tcW w:w="494" w:type="dxa"/>
            <w:shd w:val="clear" w:color="auto" w:fill="BFBFBF" w:themeFill="background1" w:themeFillShade="BF"/>
            <w:vAlign w:val="center"/>
          </w:tcPr>
          <w:p w14:paraId="6724AD30" w14:textId="77777777" w:rsidR="006868CE" w:rsidRDefault="006868CE" w:rsidP="00875746">
            <w:pPr>
              <w:jc w:val="center"/>
            </w:pPr>
          </w:p>
        </w:tc>
        <w:tc>
          <w:tcPr>
            <w:tcW w:w="494" w:type="dxa"/>
            <w:shd w:val="clear" w:color="auto" w:fill="BFBFBF" w:themeFill="background1" w:themeFillShade="BF"/>
            <w:vAlign w:val="center"/>
          </w:tcPr>
          <w:p w14:paraId="0514F849" w14:textId="77777777" w:rsidR="006868CE" w:rsidRDefault="006868CE" w:rsidP="00875746">
            <w:pPr>
              <w:jc w:val="center"/>
            </w:pPr>
          </w:p>
        </w:tc>
        <w:tc>
          <w:tcPr>
            <w:tcW w:w="494" w:type="dxa"/>
            <w:vAlign w:val="center"/>
          </w:tcPr>
          <w:p w14:paraId="1085C6F0" w14:textId="77777777" w:rsidR="006868CE" w:rsidRDefault="006868CE" w:rsidP="00875746">
            <w:pPr>
              <w:jc w:val="center"/>
            </w:pPr>
          </w:p>
        </w:tc>
        <w:tc>
          <w:tcPr>
            <w:tcW w:w="494" w:type="dxa"/>
            <w:vAlign w:val="center"/>
          </w:tcPr>
          <w:p w14:paraId="772DA46D" w14:textId="77777777" w:rsidR="006868CE" w:rsidRDefault="006868CE" w:rsidP="00875746">
            <w:pPr>
              <w:jc w:val="center"/>
            </w:pPr>
          </w:p>
        </w:tc>
        <w:tc>
          <w:tcPr>
            <w:tcW w:w="494" w:type="dxa"/>
            <w:vAlign w:val="center"/>
          </w:tcPr>
          <w:p w14:paraId="2D09CF21" w14:textId="77777777" w:rsidR="006868CE" w:rsidRDefault="006868CE" w:rsidP="00875746">
            <w:pPr>
              <w:jc w:val="center"/>
            </w:pPr>
          </w:p>
        </w:tc>
        <w:tc>
          <w:tcPr>
            <w:tcW w:w="494" w:type="dxa"/>
            <w:vAlign w:val="center"/>
          </w:tcPr>
          <w:p w14:paraId="6C5BDD42" w14:textId="77777777" w:rsidR="006868CE" w:rsidRDefault="006868CE" w:rsidP="00875746">
            <w:pPr>
              <w:jc w:val="center"/>
            </w:pPr>
          </w:p>
        </w:tc>
        <w:tc>
          <w:tcPr>
            <w:tcW w:w="494" w:type="dxa"/>
            <w:vAlign w:val="center"/>
          </w:tcPr>
          <w:p w14:paraId="1B4416A1" w14:textId="77777777" w:rsidR="006868CE" w:rsidRDefault="006868CE" w:rsidP="00875746">
            <w:pPr>
              <w:jc w:val="center"/>
            </w:pPr>
          </w:p>
        </w:tc>
      </w:tr>
      <w:tr w:rsidR="006868CE" w14:paraId="573D9227" w14:textId="77777777" w:rsidTr="007951AC">
        <w:tc>
          <w:tcPr>
            <w:tcW w:w="2014" w:type="dxa"/>
            <w:vMerge/>
            <w:vAlign w:val="center"/>
          </w:tcPr>
          <w:p w14:paraId="06443AA6" w14:textId="77777777" w:rsidR="006868CE" w:rsidRDefault="006868CE" w:rsidP="002B2AEE"/>
        </w:tc>
        <w:tc>
          <w:tcPr>
            <w:tcW w:w="2039" w:type="dxa"/>
            <w:vAlign w:val="center"/>
          </w:tcPr>
          <w:p w14:paraId="028A9440" w14:textId="77777777" w:rsidR="006868CE" w:rsidRDefault="006868CE" w:rsidP="002B2AEE">
            <w:r>
              <w:t>Dissemination of findings and recommendations</w:t>
            </w:r>
          </w:p>
        </w:tc>
        <w:tc>
          <w:tcPr>
            <w:tcW w:w="1506" w:type="dxa"/>
            <w:vAlign w:val="center"/>
          </w:tcPr>
          <w:p w14:paraId="19661998" w14:textId="77777777" w:rsidR="006868CE" w:rsidRDefault="00672A4C" w:rsidP="002B2AEE">
            <w:r>
              <w:t>PUCSL</w:t>
            </w:r>
          </w:p>
        </w:tc>
        <w:tc>
          <w:tcPr>
            <w:tcW w:w="494" w:type="dxa"/>
            <w:shd w:val="clear" w:color="auto" w:fill="BFBFBF" w:themeFill="background1" w:themeFillShade="BF"/>
            <w:vAlign w:val="center"/>
          </w:tcPr>
          <w:p w14:paraId="7CF0947D" w14:textId="77777777" w:rsidR="006868CE" w:rsidRDefault="006868CE" w:rsidP="00875746">
            <w:pPr>
              <w:jc w:val="center"/>
            </w:pPr>
          </w:p>
        </w:tc>
        <w:tc>
          <w:tcPr>
            <w:tcW w:w="494" w:type="dxa"/>
            <w:shd w:val="clear" w:color="auto" w:fill="BFBFBF" w:themeFill="background1" w:themeFillShade="BF"/>
            <w:vAlign w:val="center"/>
          </w:tcPr>
          <w:p w14:paraId="347D8010" w14:textId="77777777" w:rsidR="006868CE" w:rsidRDefault="006868CE" w:rsidP="00875746">
            <w:pPr>
              <w:jc w:val="center"/>
            </w:pPr>
          </w:p>
        </w:tc>
        <w:tc>
          <w:tcPr>
            <w:tcW w:w="494" w:type="dxa"/>
            <w:vAlign w:val="center"/>
          </w:tcPr>
          <w:p w14:paraId="4DA6BB01" w14:textId="77777777" w:rsidR="006868CE" w:rsidRDefault="006868CE" w:rsidP="00875746">
            <w:pPr>
              <w:jc w:val="center"/>
            </w:pPr>
          </w:p>
        </w:tc>
        <w:tc>
          <w:tcPr>
            <w:tcW w:w="494" w:type="dxa"/>
            <w:vAlign w:val="center"/>
          </w:tcPr>
          <w:p w14:paraId="1061035C" w14:textId="77777777" w:rsidR="006868CE" w:rsidRDefault="006868CE" w:rsidP="00875746">
            <w:pPr>
              <w:jc w:val="center"/>
            </w:pPr>
          </w:p>
        </w:tc>
        <w:tc>
          <w:tcPr>
            <w:tcW w:w="494" w:type="dxa"/>
            <w:vAlign w:val="center"/>
          </w:tcPr>
          <w:p w14:paraId="74CAACC5" w14:textId="77777777" w:rsidR="006868CE" w:rsidRDefault="006868CE" w:rsidP="00875746">
            <w:pPr>
              <w:jc w:val="center"/>
            </w:pPr>
          </w:p>
        </w:tc>
        <w:tc>
          <w:tcPr>
            <w:tcW w:w="494" w:type="dxa"/>
            <w:vAlign w:val="center"/>
          </w:tcPr>
          <w:p w14:paraId="1E53054B" w14:textId="77777777" w:rsidR="006868CE" w:rsidRDefault="006868CE" w:rsidP="00875746">
            <w:pPr>
              <w:jc w:val="center"/>
            </w:pPr>
          </w:p>
        </w:tc>
        <w:tc>
          <w:tcPr>
            <w:tcW w:w="494" w:type="dxa"/>
            <w:vAlign w:val="center"/>
          </w:tcPr>
          <w:p w14:paraId="71FECE4F" w14:textId="77777777" w:rsidR="006868CE" w:rsidRDefault="006868CE" w:rsidP="00875746">
            <w:pPr>
              <w:jc w:val="center"/>
            </w:pPr>
          </w:p>
        </w:tc>
      </w:tr>
      <w:tr w:rsidR="002B2AEE" w14:paraId="152E5D15" w14:textId="77777777" w:rsidTr="002B2AEE">
        <w:tc>
          <w:tcPr>
            <w:tcW w:w="2014" w:type="dxa"/>
            <w:vAlign w:val="center"/>
          </w:tcPr>
          <w:p w14:paraId="701CB9E8" w14:textId="77777777" w:rsidR="002B2AEE" w:rsidRDefault="002B2AEE" w:rsidP="002B2AEE">
            <w:r>
              <w:t>PHASE 2</w:t>
            </w:r>
          </w:p>
        </w:tc>
        <w:tc>
          <w:tcPr>
            <w:tcW w:w="2039" w:type="dxa"/>
            <w:vAlign w:val="center"/>
          </w:tcPr>
          <w:p w14:paraId="1914EE06" w14:textId="77777777" w:rsidR="002B2AEE" w:rsidRDefault="002B2AEE" w:rsidP="002B2AEE"/>
        </w:tc>
        <w:tc>
          <w:tcPr>
            <w:tcW w:w="1506" w:type="dxa"/>
            <w:vAlign w:val="center"/>
          </w:tcPr>
          <w:p w14:paraId="52FC0FA8" w14:textId="77777777" w:rsidR="002B2AEE" w:rsidRDefault="002B2AEE" w:rsidP="002B2AEE"/>
        </w:tc>
        <w:tc>
          <w:tcPr>
            <w:tcW w:w="494" w:type="dxa"/>
            <w:vAlign w:val="center"/>
          </w:tcPr>
          <w:p w14:paraId="2AF171B4" w14:textId="77777777" w:rsidR="002B2AEE" w:rsidRDefault="002B2AEE" w:rsidP="00875746">
            <w:pPr>
              <w:jc w:val="center"/>
            </w:pPr>
          </w:p>
        </w:tc>
        <w:tc>
          <w:tcPr>
            <w:tcW w:w="494" w:type="dxa"/>
            <w:vAlign w:val="center"/>
          </w:tcPr>
          <w:p w14:paraId="0BA3DFC9" w14:textId="77777777" w:rsidR="002B2AEE" w:rsidRDefault="002B2AEE" w:rsidP="00875746">
            <w:pPr>
              <w:jc w:val="center"/>
            </w:pPr>
          </w:p>
        </w:tc>
        <w:tc>
          <w:tcPr>
            <w:tcW w:w="494" w:type="dxa"/>
            <w:vAlign w:val="center"/>
          </w:tcPr>
          <w:p w14:paraId="28CCC9E2" w14:textId="77777777" w:rsidR="002B2AEE" w:rsidRDefault="002B2AEE" w:rsidP="00875746">
            <w:pPr>
              <w:jc w:val="center"/>
            </w:pPr>
          </w:p>
        </w:tc>
        <w:tc>
          <w:tcPr>
            <w:tcW w:w="494" w:type="dxa"/>
            <w:vAlign w:val="center"/>
          </w:tcPr>
          <w:p w14:paraId="5369AEDA" w14:textId="77777777" w:rsidR="002B2AEE" w:rsidRDefault="002B2AEE" w:rsidP="00875746">
            <w:pPr>
              <w:jc w:val="center"/>
            </w:pPr>
          </w:p>
        </w:tc>
        <w:tc>
          <w:tcPr>
            <w:tcW w:w="494" w:type="dxa"/>
            <w:vAlign w:val="center"/>
          </w:tcPr>
          <w:p w14:paraId="1865D38A" w14:textId="77777777" w:rsidR="002B2AEE" w:rsidRDefault="002B2AEE" w:rsidP="00875746">
            <w:pPr>
              <w:jc w:val="center"/>
            </w:pPr>
          </w:p>
        </w:tc>
        <w:tc>
          <w:tcPr>
            <w:tcW w:w="494" w:type="dxa"/>
            <w:vAlign w:val="center"/>
          </w:tcPr>
          <w:p w14:paraId="15710FA8" w14:textId="77777777" w:rsidR="002B2AEE" w:rsidRDefault="002B2AEE" w:rsidP="00875746">
            <w:pPr>
              <w:jc w:val="center"/>
            </w:pPr>
          </w:p>
        </w:tc>
        <w:tc>
          <w:tcPr>
            <w:tcW w:w="494" w:type="dxa"/>
            <w:vAlign w:val="center"/>
          </w:tcPr>
          <w:p w14:paraId="2D724E30" w14:textId="77777777" w:rsidR="002B2AEE" w:rsidRDefault="002B2AEE" w:rsidP="00875746">
            <w:pPr>
              <w:jc w:val="center"/>
            </w:pPr>
          </w:p>
        </w:tc>
      </w:tr>
      <w:tr w:rsidR="006868CE" w14:paraId="2582379C" w14:textId="77777777" w:rsidTr="006868CE">
        <w:tc>
          <w:tcPr>
            <w:tcW w:w="2014" w:type="dxa"/>
            <w:vMerge w:val="restart"/>
            <w:vAlign w:val="center"/>
          </w:tcPr>
          <w:p w14:paraId="2EB5B9B5" w14:textId="5F172604" w:rsidR="006868CE" w:rsidRDefault="006868CE" w:rsidP="007C2771">
            <w:r>
              <w:t xml:space="preserve">Establishing a </w:t>
            </w:r>
            <w:r w:rsidR="007C2771">
              <w:t>financing</w:t>
            </w:r>
            <w:r w:rsidR="002B5590">
              <w:t xml:space="preserve"> </w:t>
            </w:r>
            <w:r>
              <w:t>system</w:t>
            </w:r>
          </w:p>
        </w:tc>
        <w:tc>
          <w:tcPr>
            <w:tcW w:w="2039" w:type="dxa"/>
            <w:vAlign w:val="center"/>
          </w:tcPr>
          <w:p w14:paraId="0CA22EBF" w14:textId="77777777" w:rsidR="006868CE" w:rsidRDefault="00672A4C" w:rsidP="002B2AEE">
            <w:r>
              <w:t>Obtaining</w:t>
            </w:r>
            <w:r w:rsidR="006868CE">
              <w:t xml:space="preserve"> the approval for the policies and regulations</w:t>
            </w:r>
          </w:p>
        </w:tc>
        <w:tc>
          <w:tcPr>
            <w:tcW w:w="1506" w:type="dxa"/>
            <w:vAlign w:val="center"/>
          </w:tcPr>
          <w:p w14:paraId="44E80EA2" w14:textId="77777777" w:rsidR="006868CE" w:rsidRDefault="00372B39" w:rsidP="002B2AEE">
            <w:r>
              <w:t>MPRE</w:t>
            </w:r>
          </w:p>
        </w:tc>
        <w:tc>
          <w:tcPr>
            <w:tcW w:w="494" w:type="dxa"/>
            <w:vAlign w:val="center"/>
          </w:tcPr>
          <w:p w14:paraId="15862E00" w14:textId="77777777" w:rsidR="006868CE" w:rsidRDefault="006868CE" w:rsidP="00875746">
            <w:pPr>
              <w:jc w:val="center"/>
            </w:pPr>
          </w:p>
        </w:tc>
        <w:tc>
          <w:tcPr>
            <w:tcW w:w="494" w:type="dxa"/>
            <w:shd w:val="clear" w:color="auto" w:fill="BFBFBF" w:themeFill="background1" w:themeFillShade="BF"/>
            <w:vAlign w:val="center"/>
          </w:tcPr>
          <w:p w14:paraId="579F84F9" w14:textId="77777777" w:rsidR="006868CE" w:rsidRDefault="006868CE" w:rsidP="00875746">
            <w:pPr>
              <w:jc w:val="center"/>
            </w:pPr>
          </w:p>
        </w:tc>
        <w:tc>
          <w:tcPr>
            <w:tcW w:w="494" w:type="dxa"/>
            <w:vAlign w:val="center"/>
          </w:tcPr>
          <w:p w14:paraId="1DBD2F88" w14:textId="77777777" w:rsidR="006868CE" w:rsidRDefault="006868CE" w:rsidP="00875746">
            <w:pPr>
              <w:jc w:val="center"/>
            </w:pPr>
          </w:p>
        </w:tc>
        <w:tc>
          <w:tcPr>
            <w:tcW w:w="494" w:type="dxa"/>
            <w:vAlign w:val="center"/>
          </w:tcPr>
          <w:p w14:paraId="7DD53D88" w14:textId="77777777" w:rsidR="006868CE" w:rsidRDefault="006868CE" w:rsidP="00875746">
            <w:pPr>
              <w:jc w:val="center"/>
            </w:pPr>
          </w:p>
        </w:tc>
        <w:tc>
          <w:tcPr>
            <w:tcW w:w="494" w:type="dxa"/>
            <w:vAlign w:val="center"/>
          </w:tcPr>
          <w:p w14:paraId="78A69565" w14:textId="77777777" w:rsidR="006868CE" w:rsidRDefault="006868CE" w:rsidP="00875746">
            <w:pPr>
              <w:jc w:val="center"/>
            </w:pPr>
          </w:p>
        </w:tc>
        <w:tc>
          <w:tcPr>
            <w:tcW w:w="494" w:type="dxa"/>
            <w:vAlign w:val="center"/>
          </w:tcPr>
          <w:p w14:paraId="29BE41CC" w14:textId="77777777" w:rsidR="006868CE" w:rsidRDefault="006868CE" w:rsidP="00875746">
            <w:pPr>
              <w:jc w:val="center"/>
            </w:pPr>
          </w:p>
        </w:tc>
        <w:tc>
          <w:tcPr>
            <w:tcW w:w="494" w:type="dxa"/>
            <w:vAlign w:val="center"/>
          </w:tcPr>
          <w:p w14:paraId="02EEFD90" w14:textId="77777777" w:rsidR="006868CE" w:rsidRDefault="006868CE" w:rsidP="00875746">
            <w:pPr>
              <w:jc w:val="center"/>
            </w:pPr>
          </w:p>
        </w:tc>
      </w:tr>
      <w:tr w:rsidR="006868CE" w14:paraId="73CA7636" w14:textId="77777777" w:rsidTr="006868CE">
        <w:tc>
          <w:tcPr>
            <w:tcW w:w="2014" w:type="dxa"/>
            <w:vMerge/>
            <w:vAlign w:val="center"/>
          </w:tcPr>
          <w:p w14:paraId="0F9C1B4B" w14:textId="77777777" w:rsidR="006868CE" w:rsidRDefault="006868CE" w:rsidP="002B2AEE"/>
        </w:tc>
        <w:tc>
          <w:tcPr>
            <w:tcW w:w="2039" w:type="dxa"/>
            <w:vAlign w:val="center"/>
          </w:tcPr>
          <w:p w14:paraId="72CFB887" w14:textId="0903511A" w:rsidR="006868CE" w:rsidRDefault="006868CE" w:rsidP="002B2AEE">
            <w:r>
              <w:t>Establishment of the payment system</w:t>
            </w:r>
            <w:r w:rsidR="003E5EEA">
              <w:t xml:space="preserve"> / restoration or offset payments / investments on cleaner production technologies</w:t>
            </w:r>
          </w:p>
        </w:tc>
        <w:tc>
          <w:tcPr>
            <w:tcW w:w="1506" w:type="dxa"/>
            <w:vAlign w:val="center"/>
          </w:tcPr>
          <w:p w14:paraId="25E6FA4C" w14:textId="77777777" w:rsidR="006868CE" w:rsidRDefault="00672A4C" w:rsidP="002B2AEE">
            <w:r>
              <w:t>CEB</w:t>
            </w:r>
          </w:p>
        </w:tc>
        <w:tc>
          <w:tcPr>
            <w:tcW w:w="494" w:type="dxa"/>
            <w:vAlign w:val="center"/>
          </w:tcPr>
          <w:p w14:paraId="291CF4C7" w14:textId="77777777" w:rsidR="006868CE" w:rsidRDefault="006868CE" w:rsidP="00875746">
            <w:pPr>
              <w:jc w:val="center"/>
            </w:pPr>
          </w:p>
        </w:tc>
        <w:tc>
          <w:tcPr>
            <w:tcW w:w="494" w:type="dxa"/>
            <w:shd w:val="clear" w:color="auto" w:fill="BFBFBF" w:themeFill="background1" w:themeFillShade="BF"/>
            <w:vAlign w:val="center"/>
          </w:tcPr>
          <w:p w14:paraId="56E72E7D" w14:textId="77777777" w:rsidR="006868CE" w:rsidRDefault="006868CE" w:rsidP="00875746">
            <w:pPr>
              <w:jc w:val="center"/>
            </w:pPr>
          </w:p>
        </w:tc>
        <w:tc>
          <w:tcPr>
            <w:tcW w:w="494" w:type="dxa"/>
            <w:shd w:val="clear" w:color="auto" w:fill="BFBFBF" w:themeFill="background1" w:themeFillShade="BF"/>
            <w:vAlign w:val="center"/>
          </w:tcPr>
          <w:p w14:paraId="7DEF5416" w14:textId="77777777" w:rsidR="006868CE" w:rsidRDefault="006868CE" w:rsidP="00875746">
            <w:pPr>
              <w:jc w:val="center"/>
            </w:pPr>
          </w:p>
        </w:tc>
        <w:tc>
          <w:tcPr>
            <w:tcW w:w="494" w:type="dxa"/>
            <w:vAlign w:val="center"/>
          </w:tcPr>
          <w:p w14:paraId="6179D8A9" w14:textId="77777777" w:rsidR="006868CE" w:rsidRDefault="006868CE" w:rsidP="00875746">
            <w:pPr>
              <w:jc w:val="center"/>
            </w:pPr>
          </w:p>
        </w:tc>
        <w:tc>
          <w:tcPr>
            <w:tcW w:w="494" w:type="dxa"/>
            <w:vAlign w:val="center"/>
          </w:tcPr>
          <w:p w14:paraId="1A79B13A" w14:textId="77777777" w:rsidR="006868CE" w:rsidRDefault="006868CE" w:rsidP="00875746">
            <w:pPr>
              <w:jc w:val="center"/>
            </w:pPr>
          </w:p>
        </w:tc>
        <w:tc>
          <w:tcPr>
            <w:tcW w:w="494" w:type="dxa"/>
            <w:vAlign w:val="center"/>
          </w:tcPr>
          <w:p w14:paraId="4990ABC7" w14:textId="77777777" w:rsidR="006868CE" w:rsidRDefault="006868CE" w:rsidP="00875746">
            <w:pPr>
              <w:jc w:val="center"/>
            </w:pPr>
          </w:p>
        </w:tc>
        <w:tc>
          <w:tcPr>
            <w:tcW w:w="494" w:type="dxa"/>
            <w:vAlign w:val="center"/>
          </w:tcPr>
          <w:p w14:paraId="4E1AC37D" w14:textId="77777777" w:rsidR="006868CE" w:rsidRDefault="006868CE" w:rsidP="00875746">
            <w:pPr>
              <w:jc w:val="center"/>
            </w:pPr>
          </w:p>
        </w:tc>
      </w:tr>
      <w:tr w:rsidR="006868CE" w14:paraId="2E1135B8" w14:textId="77777777" w:rsidTr="007951AC">
        <w:tc>
          <w:tcPr>
            <w:tcW w:w="2014" w:type="dxa"/>
            <w:vMerge/>
            <w:vAlign w:val="center"/>
          </w:tcPr>
          <w:p w14:paraId="3925F3B9" w14:textId="77777777" w:rsidR="006868CE" w:rsidRDefault="006868CE" w:rsidP="002B2AEE"/>
        </w:tc>
        <w:tc>
          <w:tcPr>
            <w:tcW w:w="2039" w:type="dxa"/>
            <w:vAlign w:val="center"/>
          </w:tcPr>
          <w:p w14:paraId="0003CEA9" w14:textId="77777777" w:rsidR="006868CE" w:rsidRDefault="006868CE" w:rsidP="002B2AEE">
            <w:r>
              <w:t>Establishment of the application system</w:t>
            </w:r>
          </w:p>
        </w:tc>
        <w:tc>
          <w:tcPr>
            <w:tcW w:w="1506" w:type="dxa"/>
            <w:vAlign w:val="center"/>
          </w:tcPr>
          <w:p w14:paraId="2D1BE3B1" w14:textId="77777777" w:rsidR="006868CE" w:rsidRDefault="00672A4C" w:rsidP="002B2AEE">
            <w:r>
              <w:t>CEB</w:t>
            </w:r>
          </w:p>
        </w:tc>
        <w:tc>
          <w:tcPr>
            <w:tcW w:w="494" w:type="dxa"/>
            <w:vAlign w:val="center"/>
          </w:tcPr>
          <w:p w14:paraId="21FABCEB" w14:textId="77777777" w:rsidR="006868CE" w:rsidRDefault="006868CE" w:rsidP="00875746">
            <w:pPr>
              <w:jc w:val="center"/>
            </w:pPr>
          </w:p>
        </w:tc>
        <w:tc>
          <w:tcPr>
            <w:tcW w:w="494" w:type="dxa"/>
            <w:vAlign w:val="center"/>
          </w:tcPr>
          <w:p w14:paraId="2B2E4CD7" w14:textId="77777777" w:rsidR="006868CE" w:rsidRDefault="006868CE" w:rsidP="00875746">
            <w:pPr>
              <w:jc w:val="center"/>
            </w:pPr>
          </w:p>
        </w:tc>
        <w:tc>
          <w:tcPr>
            <w:tcW w:w="494" w:type="dxa"/>
            <w:shd w:val="clear" w:color="auto" w:fill="BFBFBF" w:themeFill="background1" w:themeFillShade="BF"/>
            <w:vAlign w:val="center"/>
          </w:tcPr>
          <w:p w14:paraId="2A469E8C" w14:textId="77777777" w:rsidR="006868CE" w:rsidRDefault="006868CE" w:rsidP="00875746">
            <w:pPr>
              <w:jc w:val="center"/>
            </w:pPr>
          </w:p>
        </w:tc>
        <w:tc>
          <w:tcPr>
            <w:tcW w:w="494" w:type="dxa"/>
            <w:shd w:val="clear" w:color="auto" w:fill="BFBFBF" w:themeFill="background1" w:themeFillShade="BF"/>
            <w:vAlign w:val="center"/>
          </w:tcPr>
          <w:p w14:paraId="723D3929" w14:textId="77777777" w:rsidR="006868CE" w:rsidRDefault="006868CE" w:rsidP="00875746">
            <w:pPr>
              <w:jc w:val="center"/>
            </w:pPr>
          </w:p>
        </w:tc>
        <w:tc>
          <w:tcPr>
            <w:tcW w:w="494" w:type="dxa"/>
            <w:shd w:val="clear" w:color="auto" w:fill="FFFFFF" w:themeFill="background1"/>
            <w:vAlign w:val="center"/>
          </w:tcPr>
          <w:p w14:paraId="31C6C95A" w14:textId="77777777" w:rsidR="006868CE" w:rsidRDefault="006868CE" w:rsidP="00875746">
            <w:pPr>
              <w:jc w:val="center"/>
            </w:pPr>
          </w:p>
        </w:tc>
        <w:tc>
          <w:tcPr>
            <w:tcW w:w="494" w:type="dxa"/>
            <w:shd w:val="clear" w:color="auto" w:fill="FFFFFF" w:themeFill="background1"/>
            <w:vAlign w:val="center"/>
          </w:tcPr>
          <w:p w14:paraId="32274FB2" w14:textId="77777777" w:rsidR="006868CE" w:rsidRDefault="006868CE" w:rsidP="00875746">
            <w:pPr>
              <w:jc w:val="center"/>
            </w:pPr>
          </w:p>
        </w:tc>
        <w:tc>
          <w:tcPr>
            <w:tcW w:w="494" w:type="dxa"/>
            <w:shd w:val="clear" w:color="auto" w:fill="FFFFFF" w:themeFill="background1"/>
            <w:vAlign w:val="center"/>
          </w:tcPr>
          <w:p w14:paraId="29293CE0" w14:textId="77777777" w:rsidR="006868CE" w:rsidRDefault="006868CE" w:rsidP="00875746">
            <w:pPr>
              <w:jc w:val="center"/>
            </w:pPr>
          </w:p>
        </w:tc>
      </w:tr>
      <w:tr w:rsidR="006868CE" w14:paraId="6F2CF052" w14:textId="77777777" w:rsidTr="007951AC">
        <w:tc>
          <w:tcPr>
            <w:tcW w:w="2014" w:type="dxa"/>
            <w:vMerge/>
            <w:vAlign w:val="center"/>
          </w:tcPr>
          <w:p w14:paraId="65468D3D" w14:textId="77777777" w:rsidR="006868CE" w:rsidRDefault="006868CE" w:rsidP="002B2AEE"/>
        </w:tc>
        <w:tc>
          <w:tcPr>
            <w:tcW w:w="2039" w:type="dxa"/>
            <w:vAlign w:val="center"/>
          </w:tcPr>
          <w:p w14:paraId="5EA53C3E" w14:textId="77777777" w:rsidR="006868CE" w:rsidRDefault="006868CE" w:rsidP="002B2AEE">
            <w:r>
              <w:t>Monitoring and evaluation</w:t>
            </w:r>
          </w:p>
        </w:tc>
        <w:tc>
          <w:tcPr>
            <w:tcW w:w="1506" w:type="dxa"/>
            <w:vAlign w:val="center"/>
          </w:tcPr>
          <w:p w14:paraId="0405039F" w14:textId="77777777" w:rsidR="006868CE" w:rsidRDefault="00672A4C" w:rsidP="002B2AEE">
            <w:r>
              <w:t>PUCSL</w:t>
            </w:r>
          </w:p>
        </w:tc>
        <w:tc>
          <w:tcPr>
            <w:tcW w:w="494" w:type="dxa"/>
            <w:vAlign w:val="center"/>
          </w:tcPr>
          <w:p w14:paraId="4F68B038" w14:textId="77777777" w:rsidR="006868CE" w:rsidRDefault="006868CE" w:rsidP="00875746">
            <w:pPr>
              <w:jc w:val="center"/>
            </w:pPr>
          </w:p>
        </w:tc>
        <w:tc>
          <w:tcPr>
            <w:tcW w:w="494" w:type="dxa"/>
            <w:vAlign w:val="center"/>
          </w:tcPr>
          <w:p w14:paraId="7E3D3CCA" w14:textId="77777777" w:rsidR="006868CE" w:rsidRDefault="006868CE" w:rsidP="00875746">
            <w:pPr>
              <w:jc w:val="center"/>
            </w:pPr>
          </w:p>
        </w:tc>
        <w:tc>
          <w:tcPr>
            <w:tcW w:w="494" w:type="dxa"/>
            <w:shd w:val="clear" w:color="auto" w:fill="BFBFBF" w:themeFill="background1" w:themeFillShade="BF"/>
            <w:vAlign w:val="center"/>
          </w:tcPr>
          <w:p w14:paraId="0E521988" w14:textId="77777777" w:rsidR="006868CE" w:rsidRDefault="006868CE" w:rsidP="00875746">
            <w:pPr>
              <w:jc w:val="center"/>
            </w:pPr>
          </w:p>
        </w:tc>
        <w:tc>
          <w:tcPr>
            <w:tcW w:w="494" w:type="dxa"/>
            <w:shd w:val="clear" w:color="auto" w:fill="BFBFBF" w:themeFill="background1" w:themeFillShade="BF"/>
            <w:vAlign w:val="center"/>
          </w:tcPr>
          <w:p w14:paraId="7EAA2B87" w14:textId="77777777" w:rsidR="006868CE" w:rsidRDefault="006868CE" w:rsidP="00875746">
            <w:pPr>
              <w:jc w:val="center"/>
            </w:pPr>
          </w:p>
        </w:tc>
        <w:tc>
          <w:tcPr>
            <w:tcW w:w="494" w:type="dxa"/>
            <w:shd w:val="clear" w:color="auto" w:fill="FFFFFF" w:themeFill="background1"/>
            <w:vAlign w:val="center"/>
          </w:tcPr>
          <w:p w14:paraId="6154D1ED" w14:textId="77777777" w:rsidR="006868CE" w:rsidRDefault="006868CE" w:rsidP="00875746">
            <w:pPr>
              <w:jc w:val="center"/>
            </w:pPr>
          </w:p>
        </w:tc>
        <w:tc>
          <w:tcPr>
            <w:tcW w:w="494" w:type="dxa"/>
            <w:shd w:val="clear" w:color="auto" w:fill="FFFFFF" w:themeFill="background1"/>
            <w:vAlign w:val="center"/>
          </w:tcPr>
          <w:p w14:paraId="0E0662EB" w14:textId="77777777" w:rsidR="006868CE" w:rsidRDefault="006868CE" w:rsidP="00875746">
            <w:pPr>
              <w:jc w:val="center"/>
            </w:pPr>
          </w:p>
        </w:tc>
        <w:tc>
          <w:tcPr>
            <w:tcW w:w="494" w:type="dxa"/>
            <w:shd w:val="clear" w:color="auto" w:fill="FFFFFF" w:themeFill="background1"/>
            <w:vAlign w:val="center"/>
          </w:tcPr>
          <w:p w14:paraId="260D817A" w14:textId="77777777" w:rsidR="006868CE" w:rsidRDefault="006868CE" w:rsidP="00875746">
            <w:pPr>
              <w:jc w:val="center"/>
            </w:pPr>
          </w:p>
        </w:tc>
      </w:tr>
      <w:tr w:rsidR="006868CE" w14:paraId="2D2C8A7D" w14:textId="77777777" w:rsidTr="006868CE">
        <w:tc>
          <w:tcPr>
            <w:tcW w:w="2014" w:type="dxa"/>
            <w:vAlign w:val="center"/>
          </w:tcPr>
          <w:p w14:paraId="2A0C732D" w14:textId="77777777" w:rsidR="006868CE" w:rsidRDefault="006868CE" w:rsidP="002B2AEE">
            <w:r>
              <w:t>Budget for Phase 1:</w:t>
            </w:r>
          </w:p>
          <w:p w14:paraId="3AAB42B7" w14:textId="77777777" w:rsidR="006868CE" w:rsidRDefault="006868CE" w:rsidP="002B2AEE">
            <w:r>
              <w:t>Budget for Phase 2:</w:t>
            </w:r>
          </w:p>
        </w:tc>
        <w:tc>
          <w:tcPr>
            <w:tcW w:w="7003" w:type="dxa"/>
            <w:gridSpan w:val="9"/>
            <w:vAlign w:val="center"/>
          </w:tcPr>
          <w:p w14:paraId="572B3741" w14:textId="77777777" w:rsidR="006868CE" w:rsidRDefault="006868CE" w:rsidP="006868CE">
            <w:r>
              <w:t>US$ 31,250</w:t>
            </w:r>
          </w:p>
          <w:p w14:paraId="2FF38B1C" w14:textId="77777777" w:rsidR="006868CE" w:rsidRDefault="006868CE" w:rsidP="006868CE">
            <w:r>
              <w:t>US$ 30,000</w:t>
            </w:r>
          </w:p>
        </w:tc>
      </w:tr>
      <w:tr w:rsidR="006868CE" w14:paraId="2509193E" w14:textId="77777777" w:rsidTr="006868CE">
        <w:tc>
          <w:tcPr>
            <w:tcW w:w="2014" w:type="dxa"/>
            <w:vAlign w:val="center"/>
          </w:tcPr>
          <w:p w14:paraId="20C9A4AB" w14:textId="77777777" w:rsidR="006868CE" w:rsidRDefault="006868CE" w:rsidP="002B2AEE">
            <w:r>
              <w:t>Financial result</w:t>
            </w:r>
          </w:p>
        </w:tc>
        <w:tc>
          <w:tcPr>
            <w:tcW w:w="7003" w:type="dxa"/>
            <w:gridSpan w:val="9"/>
            <w:vAlign w:val="center"/>
          </w:tcPr>
          <w:p w14:paraId="72BF03FE" w14:textId="77777777" w:rsidR="006868CE" w:rsidRDefault="006868CE" w:rsidP="006868CE">
            <w:r>
              <w:t>US$ 3 million per year</w:t>
            </w:r>
            <w:r w:rsidR="009A7D0D">
              <w:t>; US$ 12 million for 2021-2024</w:t>
            </w:r>
          </w:p>
        </w:tc>
      </w:tr>
      <w:tr w:rsidR="00372B39" w14:paraId="73633458" w14:textId="77777777" w:rsidTr="006868CE">
        <w:tc>
          <w:tcPr>
            <w:tcW w:w="2014" w:type="dxa"/>
            <w:vAlign w:val="center"/>
          </w:tcPr>
          <w:p w14:paraId="691A1DA3" w14:textId="77777777" w:rsidR="00372B39" w:rsidRDefault="00372B39" w:rsidP="002B2AEE">
            <w:r>
              <w:t>Note</w:t>
            </w:r>
          </w:p>
        </w:tc>
        <w:tc>
          <w:tcPr>
            <w:tcW w:w="7003" w:type="dxa"/>
            <w:gridSpan w:val="9"/>
            <w:vAlign w:val="center"/>
          </w:tcPr>
          <w:p w14:paraId="29EFE64F" w14:textId="77777777" w:rsidR="00372B39" w:rsidRDefault="00372B39" w:rsidP="006868CE">
            <w:r>
              <w:t xml:space="preserve">MPRE: </w:t>
            </w:r>
            <w:r w:rsidRPr="00372B39">
              <w:t>Ministry of Power &amp; Renewable Energy</w:t>
            </w:r>
          </w:p>
        </w:tc>
      </w:tr>
    </w:tbl>
    <w:p w14:paraId="3FDC1765" w14:textId="77777777" w:rsidR="00593962" w:rsidRDefault="00593962" w:rsidP="00BB5D98">
      <w:pPr>
        <w:jc w:val="both"/>
      </w:pPr>
    </w:p>
    <w:p w14:paraId="797A483E" w14:textId="5A5C64FA" w:rsidR="006B6D58" w:rsidRDefault="006B6D58" w:rsidP="00BB5D98">
      <w:pPr>
        <w:jc w:val="both"/>
      </w:pPr>
    </w:p>
    <w:p w14:paraId="63326875" w14:textId="77777777" w:rsidR="005F1469" w:rsidRPr="00A212BE" w:rsidRDefault="005F1469" w:rsidP="008D23E4">
      <w:pPr>
        <w:pStyle w:val="Heading4"/>
      </w:pPr>
      <w:r w:rsidRPr="00A212BE">
        <w:t xml:space="preserve">7. </w:t>
      </w:r>
      <w:r w:rsidR="00892881" w:rsidRPr="00A212BE">
        <w:t xml:space="preserve">Green bonds: </w:t>
      </w:r>
      <w:r w:rsidR="00CB34C5" w:rsidRPr="00A212BE">
        <w:t>Issuing international sovereign green bonds</w:t>
      </w:r>
    </w:p>
    <w:p w14:paraId="1FDE4D1D" w14:textId="40B565A7" w:rsidR="006B6D58" w:rsidRDefault="00E92EDF" w:rsidP="00BB5D98">
      <w:pPr>
        <w:jc w:val="both"/>
      </w:pPr>
      <w:r>
        <w:t xml:space="preserve">The finance solution is to introduce </w:t>
      </w:r>
      <w:r w:rsidRPr="00E92EDF">
        <w:t>international sovereign bond restricted for the purpose of investing in biodiversity</w:t>
      </w:r>
      <w:r>
        <w:t xml:space="preserve">. The proposal is for implementation of </w:t>
      </w:r>
      <w:r w:rsidR="009320D8">
        <w:t>issuing Green Bonds,</w:t>
      </w:r>
      <w:r>
        <w:t xml:space="preserve"> subject to preliminary studies and recommendations</w:t>
      </w:r>
      <w:r w:rsidR="009320D8">
        <w:t>.</w:t>
      </w:r>
      <w:r w:rsidR="007C2771">
        <w:t xml:space="preserve"> Other titles that can be considered include </w:t>
      </w:r>
      <w:r w:rsidR="007C2771" w:rsidRPr="007C2771">
        <w:t>‘nature bonds’</w:t>
      </w:r>
      <w:r w:rsidR="007C2771">
        <w:t xml:space="preserve"> or </w:t>
      </w:r>
      <w:r w:rsidR="007C2771" w:rsidRPr="007C2771">
        <w:t xml:space="preserve">‘natural capital </w:t>
      </w:r>
      <w:proofErr w:type="gramStart"/>
      <w:r w:rsidR="007C2771" w:rsidRPr="007C2771">
        <w:t>bonds’</w:t>
      </w:r>
      <w:proofErr w:type="gramEnd"/>
      <w:r w:rsidR="007C2771">
        <w:t>.</w:t>
      </w:r>
    </w:p>
    <w:p w14:paraId="2E4107A3" w14:textId="77777777" w:rsidR="00511536" w:rsidRDefault="00511536" w:rsidP="00BB5D98">
      <w:pPr>
        <w:jc w:val="both"/>
      </w:pPr>
      <w:r>
        <w:t>Objective</w:t>
      </w:r>
    </w:p>
    <w:p w14:paraId="0FCEB13D" w14:textId="6D1A0696" w:rsidR="00511536" w:rsidRDefault="00511536" w:rsidP="00BB5D98">
      <w:pPr>
        <w:jc w:val="both"/>
      </w:pPr>
      <w:r>
        <w:t xml:space="preserve">To </w:t>
      </w:r>
      <w:r w:rsidR="001F3FC3" w:rsidRPr="001F3FC3">
        <w:t>raise funds from international capital markets by issuing sovereign bonds with a restricted purpose of investing in biodiversity</w:t>
      </w:r>
      <w:r w:rsidR="00757568">
        <w:t xml:space="preserve"> positive activities</w:t>
      </w:r>
      <w:r w:rsidR="001F3FC3">
        <w:t>.</w:t>
      </w:r>
    </w:p>
    <w:p w14:paraId="07722D68" w14:textId="77777777" w:rsidR="009320D8" w:rsidRDefault="009320D8" w:rsidP="00BB5D98">
      <w:pPr>
        <w:jc w:val="both"/>
      </w:pPr>
      <w:r>
        <w:t>Description</w:t>
      </w:r>
    </w:p>
    <w:p w14:paraId="1B4F51D4" w14:textId="03AFAB41" w:rsidR="003C69AB" w:rsidRDefault="00757568" w:rsidP="00A1483A">
      <w:pPr>
        <w:jc w:val="both"/>
      </w:pPr>
      <w:r>
        <w:t>I</w:t>
      </w:r>
      <w:r w:rsidR="00A1483A">
        <w:t>nternational sovereign bonds are</w:t>
      </w:r>
      <w:r>
        <w:t xml:space="preserve"> generally</w:t>
      </w:r>
      <w:r w:rsidR="00A1483A">
        <w:t xml:space="preserve"> issued for mobilizing large sums of finance, </w:t>
      </w:r>
      <w:r w:rsidR="008A2F93">
        <w:t xml:space="preserve">while most of the green bonds in the world have been issued to finance </w:t>
      </w:r>
      <w:r w:rsidR="00835D97">
        <w:t>such large</w:t>
      </w:r>
      <w:r w:rsidR="008A2F93">
        <w:t xml:space="preserve"> projects in the areas of energy</w:t>
      </w:r>
      <w:r w:rsidR="00835D97">
        <w:t>, climate</w:t>
      </w:r>
      <w:r w:rsidR="006D5357">
        <w:t xml:space="preserve"> change</w:t>
      </w:r>
      <w:r w:rsidR="00835D97">
        <w:t>, carbon emission</w:t>
      </w:r>
      <w:r w:rsidR="008A2F93">
        <w:t xml:space="preserve"> and </w:t>
      </w:r>
      <w:r w:rsidR="006D5357">
        <w:t>infrastructure</w:t>
      </w:r>
      <w:r w:rsidR="008A2F93">
        <w:t xml:space="preserve">. </w:t>
      </w:r>
    </w:p>
    <w:p w14:paraId="4244A3C1" w14:textId="5B80D5D2" w:rsidR="00A1483A" w:rsidRDefault="006D5357" w:rsidP="00A1483A">
      <w:pPr>
        <w:jc w:val="both"/>
      </w:pPr>
      <w:r>
        <w:t>Because international bonds bring about large sums of debt capital, the issuance of green bonds is</w:t>
      </w:r>
      <w:r w:rsidR="00A1483A">
        <w:t xml:space="preserve"> recommended for </w:t>
      </w:r>
      <w:r>
        <w:t xml:space="preserve">such </w:t>
      </w:r>
      <w:r w:rsidR="00A1483A">
        <w:t xml:space="preserve">identified large projects. The </w:t>
      </w:r>
      <w:r>
        <w:t>necessary financial and institutional infrastructure</w:t>
      </w:r>
      <w:r w:rsidR="00A1483A">
        <w:t xml:space="preserve"> has already been prepared</w:t>
      </w:r>
      <w:r w:rsidRPr="006D5357">
        <w:t xml:space="preserve"> in the Sri Lankan financial markets for </w:t>
      </w:r>
      <w:proofErr w:type="gramStart"/>
      <w:r w:rsidRPr="006D5357">
        <w:t>entering into</w:t>
      </w:r>
      <w:proofErr w:type="gramEnd"/>
      <w:r w:rsidRPr="006D5357">
        <w:t xml:space="preserve"> the green bond initiatives</w:t>
      </w:r>
      <w:r w:rsidR="00A1483A">
        <w:t xml:space="preserve">. As Sri Lanka has been raising international finance through issuing bonds since 2007, the government and financial institutions are equipped with the necessary infrastructure for the international bond market. In addition, The Central Bank of Sri Lanka (CBSL) and the financial sector in general have already been moving in the direction of sustainable financing.  </w:t>
      </w:r>
    </w:p>
    <w:p w14:paraId="5E4B0D0F" w14:textId="06A2BFB4" w:rsidR="00CB34C5" w:rsidRDefault="007C2771" w:rsidP="00BB5D98">
      <w:pPr>
        <w:jc w:val="both"/>
      </w:pPr>
      <w:r>
        <w:rPr>
          <w:noProof/>
          <w:lang w:val="en-AU" w:eastAsia="en-AU" w:bidi="si-LK"/>
        </w:rPr>
        <mc:AlternateContent>
          <mc:Choice Requires="wps">
            <w:drawing>
              <wp:anchor distT="45720" distB="45720" distL="114300" distR="114300" simplePos="0" relativeHeight="251663360" behindDoc="0" locked="0" layoutInCell="1" allowOverlap="1" wp14:anchorId="0E971E7C" wp14:editId="2EC16E99">
                <wp:simplePos x="0" y="0"/>
                <wp:positionH relativeFrom="column">
                  <wp:posOffset>3429000</wp:posOffset>
                </wp:positionH>
                <wp:positionV relativeFrom="paragraph">
                  <wp:posOffset>7620</wp:posOffset>
                </wp:positionV>
                <wp:extent cx="2360930" cy="3743325"/>
                <wp:effectExtent l="0" t="0" r="1206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43325"/>
                        </a:xfrm>
                        <a:prstGeom prst="rect">
                          <a:avLst/>
                        </a:prstGeom>
                        <a:solidFill>
                          <a:srgbClr val="FFFFFF"/>
                        </a:solidFill>
                        <a:ln w="9525">
                          <a:solidFill>
                            <a:srgbClr val="000000"/>
                          </a:solidFill>
                          <a:miter lim="800000"/>
                          <a:headEnd/>
                          <a:tailEnd/>
                        </a:ln>
                      </wps:spPr>
                      <wps:txbx>
                        <w:txbxContent>
                          <w:p w14:paraId="0AE4B7EC" w14:textId="29C83EA7" w:rsidR="00791098" w:rsidRPr="00835D97" w:rsidRDefault="00791098" w:rsidP="00835D97">
                            <w:pPr>
                              <w:jc w:val="center"/>
                              <w:rPr>
                                <w:sz w:val="24"/>
                              </w:rPr>
                            </w:pPr>
                            <w:r w:rsidRPr="00835D97">
                              <w:rPr>
                                <w:sz w:val="24"/>
                              </w:rPr>
                              <w:t>BOOMING GREEN BONDS</w:t>
                            </w:r>
                          </w:p>
                          <w:p w14:paraId="5FC71AED" w14:textId="67AB8F59" w:rsidR="00791098" w:rsidRDefault="00791098" w:rsidP="00835D97">
                            <w:pPr>
                              <w:jc w:val="both"/>
                            </w:pPr>
                            <w:r>
                              <w:t>“Launched by multilateral institutions such as the World Bank and EIB [European Investment Bank], the green bond market was originally viewed as niche. Not so now: it's been less than a decade and green bonds are proliferating.”</w:t>
                            </w:r>
                          </w:p>
                          <w:p w14:paraId="72EC8488" w14:textId="04DC2625" w:rsidR="00791098" w:rsidRDefault="00791098" w:rsidP="00835D97">
                            <w:pPr>
                              <w:jc w:val="both"/>
                            </w:pPr>
                            <w:r>
                              <w:t>According to World Economic Forum, green bonds initiated by issuing US$4 billion in 2010 reached US$82 billion in 2016 and, estimated to be US$150 billion in 2017.</w:t>
                            </w:r>
                          </w:p>
                          <w:p w14:paraId="08007484" w14:textId="77777777" w:rsidR="00791098" w:rsidRDefault="00791098" w:rsidP="00553887">
                            <w:pPr>
                              <w:rPr>
                                <w:sz w:val="20"/>
                              </w:rPr>
                            </w:pPr>
                            <w:r w:rsidRPr="00835D97">
                              <w:rPr>
                                <w:sz w:val="20"/>
                              </w:rPr>
                              <w:t xml:space="preserve">Source: </w:t>
                            </w:r>
                            <w:hyperlink r:id="rId15" w:history="1">
                              <w:r w:rsidRPr="00835D97">
                                <w:rPr>
                                  <w:rStyle w:val="Hyperlink"/>
                                  <w:sz w:val="20"/>
                                </w:rPr>
                                <w:t>https://www.weforum.org/agenda/2017/07/what-are-green-bonds-explainer</w:t>
                              </w:r>
                            </w:hyperlink>
                            <w:r w:rsidRPr="00835D97">
                              <w:rPr>
                                <w:sz w:val="20"/>
                              </w:rPr>
                              <w:t xml:space="preserve">; </w:t>
                            </w:r>
                          </w:p>
                          <w:p w14:paraId="3BA7251F" w14:textId="14829624" w:rsidR="00791098" w:rsidRPr="00835D97" w:rsidRDefault="00791098" w:rsidP="00553887">
                            <w:pPr>
                              <w:rPr>
                                <w:sz w:val="20"/>
                              </w:rPr>
                            </w:pPr>
                            <w:r>
                              <w:rPr>
                                <w:sz w:val="20"/>
                              </w:rPr>
                              <w:t>R</w:t>
                            </w:r>
                            <w:r w:rsidRPr="00835D97">
                              <w:rPr>
                                <w:sz w:val="20"/>
                              </w:rPr>
                              <w:t>etrieved on December 22, 2018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971E7C" id="_x0000_s1029" type="#_x0000_t202" style="position:absolute;left:0;text-align:left;margin-left:270pt;margin-top:.6pt;width:185.9pt;height:294.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xJJgIAAEwEAAAOAAAAZHJzL2Uyb0RvYy54bWysVNtu2zAMfR+wfxD0vtixk7Yx4hRdugwD&#10;ugvQ7gNkWY6FSaImKbG7ry+lpGl2wR6G+UEgReqQPCS9vB61InvhvART0+kkp0QYDq0025p+fdi8&#10;uaLEB2ZapsCImj4KT69Xr18tB1uJAnpQrXAEQYyvBlvTPgRbZZnnvdDMT8AKg8YOnGYBVbfNWscG&#10;RNcqK/L8IhvAtdYBF97j7e3BSFcJv+sED5+7zotAVE0xt5BOl84mntlqyaqtY7aX/JgG+4csNJMG&#10;g56gbllgZOfkb1BacgceujDhoDPoOslFqgGrmea/VHPfMytSLUiOtyea/P+D5Z/2XxyRbU1nlBim&#10;sUUPYgzkLYykiOwM1lfodG/RLYx4jV1OlXp7B/ybJwbWPTNbceMcDL1gLWY3jS+zs6cHHB9BmuEj&#10;tBiG7QIkoLFzOlKHZBBExy49njoTU+F4WZQX+aJEE0dbeTkry2KeYrDq+bl1PrwXoEkUauqw9Qme&#10;7e98iOmw6tklRvOgZLuRSiXFbZu1cmTPcEw26Tui/+SmDBlquphj7L9D5On7E4SWAeddSV3Tq5MT&#10;qyJv70ybpjEwqQ4ypqzMkcjI3YHFMDZj6lgZA0SSG2gfkVkHh/HGdUShB/eDkgFHu6b++445QYn6&#10;YLA7i+lsFnchKbP5ZYGKO7c05xZmOELVNFByENch7U9kwMANdrGTid+XTI4p48gm2o/rFXfiXE9e&#10;Lz+B1RMAAAD//wMAUEsDBBQABgAIAAAAIQCGemxj4QAAAA4BAAAPAAAAZHJzL2Rvd25yZXYueG1s&#10;TI/BTsMwDIbvSLxDZCRuLOnEgHVNJzS0y26UCXbMGtN0a5yqybbu7TEnuFiyPvn3/xXL0XfijENs&#10;A2nIJgoEUh1sS42G7cf64QVETIas6QKhhitGWJa3N4XJbbjQO56r1AgOoZgbDS6lPpcy1g69iZPQ&#10;IzH7DoM3idehkXYwFw73nZwq9SS9aYk/ONPjymF9rE5eQzxm69lXOGzdbnN11WHXfrabldb3d+Pb&#10;gsfrAkTCMf1dwK8D94eSi+3DiWwUnYbZo2KhxGAKgvk8y9hnz2CunkGWhfyvUf4AAAD//wMAUEsB&#10;Ai0AFAAGAAgAAAAhALaDOJL+AAAA4QEAABMAAAAAAAAAAAAAAAAAAAAAAFtDb250ZW50X1R5cGVz&#10;XS54bWxQSwECLQAUAAYACAAAACEAOP0h/9YAAACUAQAACwAAAAAAAAAAAAAAAAAvAQAAX3JlbHMv&#10;LnJlbHNQSwECLQAUAAYACAAAACEAKHbMSSYCAABMBAAADgAAAAAAAAAAAAAAAAAuAgAAZHJzL2Uy&#10;b0RvYy54bWxQSwECLQAUAAYACAAAACEAhnpsY+EAAAAOAQAADwAAAAAAAAAAAAAAAACABAAAZHJz&#10;L2Rvd25yZXYueG1sUEsFBgAAAAAEAAQA8wAAAI4FAAAAAA==&#10;">
                <v:textbox>
                  <w:txbxContent>
                    <w:p w14:paraId="0AE4B7EC" w14:textId="29C83EA7" w:rsidR="00791098" w:rsidRPr="00835D97" w:rsidRDefault="00791098" w:rsidP="00835D97">
                      <w:pPr>
                        <w:jc w:val="center"/>
                        <w:rPr>
                          <w:sz w:val="24"/>
                        </w:rPr>
                      </w:pPr>
                      <w:r w:rsidRPr="00835D97">
                        <w:rPr>
                          <w:sz w:val="24"/>
                        </w:rPr>
                        <w:t>BOOMING GREEN BONDS</w:t>
                      </w:r>
                    </w:p>
                    <w:p w14:paraId="5FC71AED" w14:textId="67AB8F59" w:rsidR="00791098" w:rsidRDefault="00791098" w:rsidP="00835D97">
                      <w:pPr>
                        <w:jc w:val="both"/>
                      </w:pPr>
                      <w:r>
                        <w:t>“Launched by multilateral institutions such as the World Bank and EIB [European Investment Bank], the green bond market was originally viewed as niche. Not so now: it's been less than a decade and green bonds are proliferating.”</w:t>
                      </w:r>
                    </w:p>
                    <w:p w14:paraId="72EC8488" w14:textId="04DC2625" w:rsidR="00791098" w:rsidRDefault="00791098" w:rsidP="00835D97">
                      <w:pPr>
                        <w:jc w:val="both"/>
                      </w:pPr>
                      <w:r>
                        <w:t>According to World Economic Forum, green bonds initiated by issuing US$4 billion in 2010 reached US$82 billion in 2016 and, estimated to be US$150 billion in 2017.</w:t>
                      </w:r>
                    </w:p>
                    <w:p w14:paraId="08007484" w14:textId="77777777" w:rsidR="00791098" w:rsidRDefault="00791098" w:rsidP="00553887">
                      <w:pPr>
                        <w:rPr>
                          <w:sz w:val="20"/>
                        </w:rPr>
                      </w:pPr>
                      <w:r w:rsidRPr="00835D97">
                        <w:rPr>
                          <w:sz w:val="20"/>
                        </w:rPr>
                        <w:t xml:space="preserve">Source: </w:t>
                      </w:r>
                      <w:hyperlink r:id="rId16" w:history="1">
                        <w:r w:rsidRPr="00835D97">
                          <w:rPr>
                            <w:rStyle w:val="Hyperlink"/>
                            <w:sz w:val="20"/>
                          </w:rPr>
                          <w:t>https://www.weforum.org/agenda/2017/07/what-are-green-bonds-explainer</w:t>
                        </w:r>
                      </w:hyperlink>
                      <w:r w:rsidRPr="00835D97">
                        <w:rPr>
                          <w:sz w:val="20"/>
                        </w:rPr>
                        <w:t xml:space="preserve">; </w:t>
                      </w:r>
                    </w:p>
                    <w:p w14:paraId="3BA7251F" w14:textId="14829624" w:rsidR="00791098" w:rsidRPr="00835D97" w:rsidRDefault="00791098" w:rsidP="00553887">
                      <w:pPr>
                        <w:rPr>
                          <w:sz w:val="20"/>
                        </w:rPr>
                      </w:pPr>
                      <w:r>
                        <w:rPr>
                          <w:sz w:val="20"/>
                        </w:rPr>
                        <w:t>R</w:t>
                      </w:r>
                      <w:r w:rsidRPr="00835D97">
                        <w:rPr>
                          <w:sz w:val="20"/>
                        </w:rPr>
                        <w:t>etrieved on December 22, 2018</w:t>
                      </w:r>
                    </w:p>
                  </w:txbxContent>
                </v:textbox>
                <w10:wrap type="square"/>
              </v:shape>
            </w:pict>
          </mc:Fallback>
        </mc:AlternateContent>
      </w:r>
      <w:r w:rsidR="009B69AD" w:rsidRPr="009B69AD">
        <w:t xml:space="preserve">The issuing </w:t>
      </w:r>
      <w:r w:rsidR="009B69AD">
        <w:t xml:space="preserve">of </w:t>
      </w:r>
      <w:r w:rsidR="009B69AD" w:rsidRPr="009B69AD">
        <w:t xml:space="preserve">international sovereign green bonds by the Sri Lankan government is </w:t>
      </w:r>
      <w:r w:rsidR="000D4F48">
        <w:t>recommended</w:t>
      </w:r>
      <w:r w:rsidR="009B69AD" w:rsidRPr="009B69AD">
        <w:t xml:space="preserve"> as a finance solution to mobilize relatively large sum</w:t>
      </w:r>
      <w:r w:rsidR="009B69AD">
        <w:t>s</w:t>
      </w:r>
      <w:r w:rsidR="009B69AD" w:rsidRPr="009B69AD">
        <w:t xml:space="preserve"> of </w:t>
      </w:r>
      <w:r w:rsidR="009B69AD">
        <w:t xml:space="preserve">debt </w:t>
      </w:r>
      <w:r w:rsidR="009B69AD" w:rsidRPr="009B69AD">
        <w:t>capital for investing in l</w:t>
      </w:r>
      <w:r w:rsidR="00CD035C">
        <w:t>arge-scale biodiversity projects: combatting land degradation, arresting habitat and species loss, maritime reef conservation, coastal conservation, and sustainable energy</w:t>
      </w:r>
      <w:r w:rsidR="009B69AD" w:rsidRPr="009B69AD">
        <w:t xml:space="preserve">. </w:t>
      </w:r>
      <w:r w:rsidR="0004343B">
        <w:t xml:space="preserve">These projects </w:t>
      </w:r>
      <w:r w:rsidR="00D04665">
        <w:t>are consistent</w:t>
      </w:r>
      <w:r w:rsidR="0004343B">
        <w:t xml:space="preserve"> with the national biodiversity targets as outlined in the NBSAP as well. </w:t>
      </w:r>
      <w:r w:rsidR="00B34C58">
        <w:t xml:space="preserve">The projects which might have a major economic and financial benefits will strengthen the country’s capacity for debt sustainability. </w:t>
      </w:r>
      <w:r w:rsidR="009B69AD" w:rsidRPr="009B69AD">
        <w:t>While th</w:t>
      </w:r>
      <w:r w:rsidR="00CD035C">
        <w:t>e issuance of green bonds</w:t>
      </w:r>
      <w:r w:rsidR="009B69AD" w:rsidRPr="009B69AD">
        <w:t xml:space="preserve"> is the single proposal among prioritized solutions which has the capacity to generate large sum</w:t>
      </w:r>
      <w:r w:rsidR="009B69AD">
        <w:t>s</w:t>
      </w:r>
      <w:r w:rsidR="009B69AD" w:rsidRPr="009B69AD">
        <w:t xml:space="preserve"> of money, even though </w:t>
      </w:r>
      <w:r w:rsidR="009B69AD">
        <w:t>it could be rather</w:t>
      </w:r>
      <w:r w:rsidR="009B69AD" w:rsidRPr="009B69AD">
        <w:t xml:space="preserve"> small by international standards.</w:t>
      </w:r>
    </w:p>
    <w:p w14:paraId="2CA10DFF" w14:textId="03D32304" w:rsidR="00F74202" w:rsidRDefault="00F74202" w:rsidP="00BB5D98">
      <w:pPr>
        <w:jc w:val="both"/>
      </w:pPr>
      <w:r>
        <w:t xml:space="preserve">There is a possibility to use the green bonds for </w:t>
      </w:r>
      <w:proofErr w:type="spellStart"/>
      <w:r>
        <w:t>programmes</w:t>
      </w:r>
      <w:proofErr w:type="spellEnd"/>
      <w:r>
        <w:t xml:space="preserve"> which might need large investments and the payback period is short to medium term. Catchment restoration, improving the efficiencies </w:t>
      </w:r>
      <w:r w:rsidR="007264F2">
        <w:t>hydro power generation are some of the areas that could be benefitted from a sovereign nature bond issue. But as per the experts in the sector Sri Lanka may not be getting a significant benefit by issuing a nature bond in the current context. The authorities are monitoring the international finance markets regularly and when there is a clear advantage, they are ready to issue a ‘nature bond’.</w:t>
      </w:r>
    </w:p>
    <w:p w14:paraId="0040F283" w14:textId="3C2F4AA8" w:rsidR="00CE0EED" w:rsidRDefault="00CE0EED" w:rsidP="00BB5D98">
      <w:pPr>
        <w:jc w:val="both"/>
      </w:pPr>
      <w:r>
        <w:t>Business case</w:t>
      </w:r>
    </w:p>
    <w:p w14:paraId="56A43AF2" w14:textId="31C8BFF9" w:rsidR="00CE0EED" w:rsidRDefault="00CE0EED" w:rsidP="00BB5D98">
      <w:pPr>
        <w:jc w:val="both"/>
      </w:pPr>
      <w:r>
        <w:t>As Sri Lanka has already moved in the direction of raising international capital through issuing bonds and in adopting sustainable financing initiatives in its financial sector, green bond is an implementable proposal without difficulties</w:t>
      </w:r>
      <w:r w:rsidR="007264F2">
        <w:t xml:space="preserve"> if there is a clear advantage of issuing a ‘nature bond’</w:t>
      </w:r>
      <w:r>
        <w:t>.</w:t>
      </w:r>
      <w:r w:rsidR="00292710">
        <w:t xml:space="preserve"> However, it is recommended for investing in large-scale projects for conservation and sustaina</w:t>
      </w:r>
      <w:r w:rsidR="00801689">
        <w:t>ble use of biodiversity by the government with or without private partnerships.</w:t>
      </w:r>
      <w:r w:rsidR="006B120B">
        <w:t xml:space="preserve"> The solution of green bonds is an option expected to be welcomed by the government faced with financial gaps for investing in biodiversity, but with a risk element due to increased public debt burden</w:t>
      </w:r>
      <w:r w:rsidR="0068025D">
        <w:t>, which is running at around 80 percent of GDP as of 2018.</w:t>
      </w:r>
    </w:p>
    <w:p w14:paraId="376B799B" w14:textId="77777777" w:rsidR="007264F2" w:rsidRDefault="007264F2" w:rsidP="00BB5D98">
      <w:pPr>
        <w:jc w:val="both"/>
      </w:pPr>
    </w:p>
    <w:p w14:paraId="50E7EC9F" w14:textId="7D797431" w:rsidR="006B120B" w:rsidRDefault="006B120B" w:rsidP="00BB5D98">
      <w:pPr>
        <w:jc w:val="both"/>
      </w:pPr>
      <w:r>
        <w:t>Responsibility</w:t>
      </w:r>
    </w:p>
    <w:p w14:paraId="6C6D6B19" w14:textId="77777777" w:rsidR="006B120B" w:rsidRDefault="006B120B" w:rsidP="00BB5D98">
      <w:pPr>
        <w:jc w:val="both"/>
      </w:pPr>
      <w:r>
        <w:t xml:space="preserve">The Ministry of Finance (MF) and the Central Bank of Sri Lanka (CBSL) begin the implementation process. After receiving the Cabinet approval for the initiative Steering Committee and the Technical Committee appointed by the CBSL carry out the implementation process. </w:t>
      </w:r>
      <w:r w:rsidR="00883C82">
        <w:t xml:space="preserve">Lead Managers from among international organizations such as the World Bank, the Asian Development Bank (ADB) and the International Finance Corporation (IFC) </w:t>
      </w:r>
      <w:r w:rsidR="00866399">
        <w:t xml:space="preserve">are appointed to provide advice and guidance. The bonds are issued by the CBSL in collaboration with international </w:t>
      </w:r>
      <w:proofErr w:type="gramStart"/>
      <w:r w:rsidR="00866399">
        <w:t>banks, and</w:t>
      </w:r>
      <w:proofErr w:type="gramEnd"/>
      <w:r w:rsidR="00866399">
        <w:t xml:space="preserve"> raise funds which </w:t>
      </w:r>
      <w:r w:rsidR="00B1304B">
        <w:t>will</w:t>
      </w:r>
      <w:r w:rsidR="00866399">
        <w:t xml:space="preserve"> be credited to the Treasury for disbursements among the projects.</w:t>
      </w:r>
      <w:r w:rsidR="00B1304B">
        <w:t xml:space="preserve"> The projects need to be implemented under the purview of the Ministry of Finance and the Ministry of Mahaweli Development and Environment (MMDE) or other relevant agencies.</w:t>
      </w:r>
    </w:p>
    <w:p w14:paraId="1F9408CE" w14:textId="675B88F7" w:rsidR="003713B8" w:rsidRDefault="002369C1" w:rsidP="00BB5D98">
      <w:pPr>
        <w:jc w:val="both"/>
      </w:pPr>
      <w:r>
        <w:t>Finan</w:t>
      </w:r>
      <w:r w:rsidR="00315042">
        <w:t>cial</w:t>
      </w:r>
      <w:r>
        <w:t xml:space="preserve"> result</w:t>
      </w:r>
    </w:p>
    <w:p w14:paraId="5F3CCADA" w14:textId="01AE698C" w:rsidR="002369C1" w:rsidRDefault="002369C1" w:rsidP="002369C1">
      <w:pPr>
        <w:jc w:val="both"/>
      </w:pPr>
      <w:r>
        <w:t xml:space="preserve">The finance solution is to mobilize finances through issuing restricted international green bonds, while the amount of finance mobilization is subject to the international norms and the internal requirement and capacity. Having considered these criteria, the minimum US$ 100 million worth international sovereign green bonds with 5 - </w:t>
      </w:r>
      <w:proofErr w:type="gramStart"/>
      <w:r>
        <w:t>10 year</w:t>
      </w:r>
      <w:proofErr w:type="gramEnd"/>
      <w:r>
        <w:t xml:space="preserve"> period of maturity is proposed. This requirement is significantly lower by international standards, but the higher amounts of debt financing will increase internal risks.</w:t>
      </w:r>
    </w:p>
    <w:p w14:paraId="3CB28808" w14:textId="77777777" w:rsidR="00B1304B" w:rsidRDefault="00B1304B" w:rsidP="00BB5D98">
      <w:pPr>
        <w:jc w:val="both"/>
      </w:pPr>
      <w:r>
        <w:t>Action Plan</w:t>
      </w:r>
    </w:p>
    <w:tbl>
      <w:tblPr>
        <w:tblStyle w:val="TableGrid"/>
        <w:tblW w:w="0" w:type="auto"/>
        <w:tblLook w:val="04A0" w:firstRow="1" w:lastRow="0" w:firstColumn="1" w:lastColumn="0" w:noHBand="0" w:noVBand="1"/>
      </w:tblPr>
      <w:tblGrid>
        <w:gridCol w:w="2021"/>
        <w:gridCol w:w="2040"/>
        <w:gridCol w:w="1498"/>
        <w:gridCol w:w="494"/>
        <w:gridCol w:w="494"/>
        <w:gridCol w:w="494"/>
        <w:gridCol w:w="494"/>
        <w:gridCol w:w="494"/>
        <w:gridCol w:w="494"/>
        <w:gridCol w:w="494"/>
      </w:tblGrid>
      <w:tr w:rsidR="00F567BF" w14:paraId="68350A0E" w14:textId="77777777" w:rsidTr="00F6154B">
        <w:tc>
          <w:tcPr>
            <w:tcW w:w="2021" w:type="dxa"/>
            <w:vMerge w:val="restart"/>
            <w:vAlign w:val="center"/>
          </w:tcPr>
          <w:p w14:paraId="28196EC1" w14:textId="77777777" w:rsidR="00F567BF" w:rsidRPr="00C27851" w:rsidRDefault="00F567BF" w:rsidP="00F6154B">
            <w:pPr>
              <w:jc w:val="center"/>
            </w:pPr>
            <w:r w:rsidRPr="00C27851">
              <w:t>Output</w:t>
            </w:r>
          </w:p>
        </w:tc>
        <w:tc>
          <w:tcPr>
            <w:tcW w:w="2040" w:type="dxa"/>
            <w:vMerge w:val="restart"/>
            <w:vAlign w:val="center"/>
          </w:tcPr>
          <w:p w14:paraId="72BA9F67" w14:textId="77777777" w:rsidR="00F567BF" w:rsidRPr="00C27851" w:rsidRDefault="00F567BF" w:rsidP="00F6154B">
            <w:pPr>
              <w:jc w:val="center"/>
            </w:pPr>
            <w:r w:rsidRPr="00C27851">
              <w:t>Main activities</w:t>
            </w:r>
          </w:p>
        </w:tc>
        <w:tc>
          <w:tcPr>
            <w:tcW w:w="1498" w:type="dxa"/>
            <w:vMerge w:val="restart"/>
            <w:vAlign w:val="center"/>
          </w:tcPr>
          <w:p w14:paraId="7C822295" w14:textId="77777777" w:rsidR="00F567BF" w:rsidRPr="00C27851" w:rsidRDefault="00F567BF" w:rsidP="00F6154B">
            <w:pPr>
              <w:jc w:val="center"/>
            </w:pPr>
            <w:r w:rsidRPr="00C27851">
              <w:t>Responsibility</w:t>
            </w:r>
          </w:p>
        </w:tc>
        <w:tc>
          <w:tcPr>
            <w:tcW w:w="3458" w:type="dxa"/>
            <w:gridSpan w:val="7"/>
            <w:vAlign w:val="center"/>
          </w:tcPr>
          <w:p w14:paraId="2775AB30" w14:textId="77777777" w:rsidR="00F567BF" w:rsidRPr="00C27851" w:rsidRDefault="00F567BF" w:rsidP="00F6154B">
            <w:pPr>
              <w:jc w:val="center"/>
            </w:pPr>
            <w:r w:rsidRPr="00C27851">
              <w:t>Year</w:t>
            </w:r>
          </w:p>
        </w:tc>
      </w:tr>
      <w:tr w:rsidR="00F567BF" w14:paraId="61DCAE2F" w14:textId="77777777" w:rsidTr="00F6154B">
        <w:tc>
          <w:tcPr>
            <w:tcW w:w="2021" w:type="dxa"/>
            <w:vMerge/>
            <w:vAlign w:val="center"/>
          </w:tcPr>
          <w:p w14:paraId="55CFAF13" w14:textId="77777777" w:rsidR="00F567BF" w:rsidRDefault="00F567BF" w:rsidP="00F6154B">
            <w:pPr>
              <w:jc w:val="center"/>
            </w:pPr>
          </w:p>
        </w:tc>
        <w:tc>
          <w:tcPr>
            <w:tcW w:w="2040" w:type="dxa"/>
            <w:vMerge/>
            <w:vAlign w:val="center"/>
          </w:tcPr>
          <w:p w14:paraId="1B7C4CA3" w14:textId="77777777" w:rsidR="00F567BF" w:rsidRDefault="00F567BF" w:rsidP="00F6154B">
            <w:pPr>
              <w:jc w:val="center"/>
            </w:pPr>
          </w:p>
        </w:tc>
        <w:tc>
          <w:tcPr>
            <w:tcW w:w="1498" w:type="dxa"/>
            <w:vMerge/>
            <w:vAlign w:val="center"/>
          </w:tcPr>
          <w:p w14:paraId="0A94CFCD" w14:textId="77777777" w:rsidR="00F567BF" w:rsidRDefault="00F567BF" w:rsidP="00F6154B">
            <w:pPr>
              <w:jc w:val="center"/>
            </w:pPr>
          </w:p>
        </w:tc>
        <w:tc>
          <w:tcPr>
            <w:tcW w:w="494" w:type="dxa"/>
            <w:vAlign w:val="center"/>
          </w:tcPr>
          <w:p w14:paraId="09F4A300" w14:textId="77777777" w:rsidR="00F567BF" w:rsidRDefault="00F567BF" w:rsidP="00F6154B">
            <w:pPr>
              <w:jc w:val="center"/>
            </w:pPr>
            <w:r w:rsidRPr="00C27851">
              <w:t>‘18</w:t>
            </w:r>
          </w:p>
        </w:tc>
        <w:tc>
          <w:tcPr>
            <w:tcW w:w="494" w:type="dxa"/>
            <w:vAlign w:val="center"/>
          </w:tcPr>
          <w:p w14:paraId="091DDAF8" w14:textId="77777777" w:rsidR="00F567BF" w:rsidRDefault="00F567BF" w:rsidP="00F6154B">
            <w:pPr>
              <w:jc w:val="center"/>
            </w:pPr>
            <w:r w:rsidRPr="00C27851">
              <w:t>‘19</w:t>
            </w:r>
          </w:p>
        </w:tc>
        <w:tc>
          <w:tcPr>
            <w:tcW w:w="494" w:type="dxa"/>
            <w:vAlign w:val="center"/>
          </w:tcPr>
          <w:p w14:paraId="596616C3" w14:textId="77777777" w:rsidR="00F567BF" w:rsidRDefault="00F567BF" w:rsidP="00F6154B">
            <w:pPr>
              <w:jc w:val="center"/>
            </w:pPr>
            <w:r w:rsidRPr="00C27851">
              <w:t>‘20</w:t>
            </w:r>
          </w:p>
        </w:tc>
        <w:tc>
          <w:tcPr>
            <w:tcW w:w="494" w:type="dxa"/>
            <w:vAlign w:val="center"/>
          </w:tcPr>
          <w:p w14:paraId="3C84194C" w14:textId="77777777" w:rsidR="00F567BF" w:rsidRDefault="00F567BF" w:rsidP="00F6154B">
            <w:pPr>
              <w:jc w:val="center"/>
            </w:pPr>
            <w:r w:rsidRPr="00C27851">
              <w:t>‘21</w:t>
            </w:r>
          </w:p>
        </w:tc>
        <w:tc>
          <w:tcPr>
            <w:tcW w:w="494" w:type="dxa"/>
            <w:vAlign w:val="center"/>
          </w:tcPr>
          <w:p w14:paraId="32CB4603" w14:textId="77777777" w:rsidR="00F567BF" w:rsidRDefault="00F567BF" w:rsidP="00F6154B">
            <w:pPr>
              <w:jc w:val="center"/>
            </w:pPr>
            <w:r w:rsidRPr="00C27851">
              <w:t>‘22</w:t>
            </w:r>
          </w:p>
        </w:tc>
        <w:tc>
          <w:tcPr>
            <w:tcW w:w="494" w:type="dxa"/>
            <w:vAlign w:val="center"/>
          </w:tcPr>
          <w:p w14:paraId="3B49ACEB" w14:textId="77777777" w:rsidR="00F567BF" w:rsidRDefault="00F567BF" w:rsidP="00F6154B">
            <w:pPr>
              <w:jc w:val="center"/>
            </w:pPr>
            <w:r w:rsidRPr="00C27851">
              <w:t>‘23</w:t>
            </w:r>
          </w:p>
        </w:tc>
        <w:tc>
          <w:tcPr>
            <w:tcW w:w="494" w:type="dxa"/>
            <w:vAlign w:val="center"/>
          </w:tcPr>
          <w:p w14:paraId="147B8652" w14:textId="77777777" w:rsidR="00F567BF" w:rsidRDefault="00F567BF" w:rsidP="00F6154B">
            <w:pPr>
              <w:jc w:val="center"/>
            </w:pPr>
            <w:r w:rsidRPr="00C27851">
              <w:t>‘24</w:t>
            </w:r>
          </w:p>
        </w:tc>
      </w:tr>
      <w:tr w:rsidR="008315B8" w14:paraId="4D9B185D" w14:textId="77777777" w:rsidTr="008315B8">
        <w:tc>
          <w:tcPr>
            <w:tcW w:w="2021" w:type="dxa"/>
            <w:vMerge w:val="restart"/>
            <w:vAlign w:val="center"/>
          </w:tcPr>
          <w:p w14:paraId="286D5A69" w14:textId="77777777" w:rsidR="008315B8" w:rsidRDefault="008315B8" w:rsidP="00F6154B">
            <w:r>
              <w:t>B</w:t>
            </w:r>
            <w:r w:rsidRPr="00F6154B">
              <w:t>iodiversity projects for investment</w:t>
            </w:r>
          </w:p>
        </w:tc>
        <w:tc>
          <w:tcPr>
            <w:tcW w:w="2040" w:type="dxa"/>
            <w:vAlign w:val="center"/>
          </w:tcPr>
          <w:p w14:paraId="0632437E" w14:textId="77777777" w:rsidR="008315B8" w:rsidRDefault="008315B8" w:rsidP="00F6154B">
            <w:r>
              <w:t>Studying and recommending a list of projects</w:t>
            </w:r>
          </w:p>
        </w:tc>
        <w:tc>
          <w:tcPr>
            <w:tcW w:w="1498" w:type="dxa"/>
            <w:vAlign w:val="center"/>
          </w:tcPr>
          <w:p w14:paraId="5153E7FA" w14:textId="77777777" w:rsidR="008315B8" w:rsidRDefault="008315B8" w:rsidP="00F6154B">
            <w:r>
              <w:t>MMDE</w:t>
            </w:r>
          </w:p>
        </w:tc>
        <w:tc>
          <w:tcPr>
            <w:tcW w:w="494" w:type="dxa"/>
            <w:shd w:val="clear" w:color="auto" w:fill="FFFFFF" w:themeFill="background1"/>
            <w:vAlign w:val="center"/>
          </w:tcPr>
          <w:p w14:paraId="1AF74C4C" w14:textId="77777777" w:rsidR="008315B8" w:rsidRDefault="008315B8" w:rsidP="00F6154B">
            <w:pPr>
              <w:jc w:val="center"/>
            </w:pPr>
          </w:p>
        </w:tc>
        <w:tc>
          <w:tcPr>
            <w:tcW w:w="494" w:type="dxa"/>
            <w:shd w:val="clear" w:color="auto" w:fill="BFBFBF" w:themeFill="background1" w:themeFillShade="BF"/>
            <w:vAlign w:val="center"/>
          </w:tcPr>
          <w:p w14:paraId="1C36B75C" w14:textId="77777777" w:rsidR="008315B8" w:rsidRDefault="008315B8" w:rsidP="00F6154B">
            <w:pPr>
              <w:jc w:val="center"/>
            </w:pPr>
          </w:p>
        </w:tc>
        <w:tc>
          <w:tcPr>
            <w:tcW w:w="494" w:type="dxa"/>
            <w:vAlign w:val="center"/>
          </w:tcPr>
          <w:p w14:paraId="7A24FD4A" w14:textId="77777777" w:rsidR="008315B8" w:rsidRDefault="008315B8" w:rsidP="00F6154B">
            <w:pPr>
              <w:jc w:val="center"/>
            </w:pPr>
          </w:p>
        </w:tc>
        <w:tc>
          <w:tcPr>
            <w:tcW w:w="494" w:type="dxa"/>
            <w:vAlign w:val="center"/>
          </w:tcPr>
          <w:p w14:paraId="7815FAE9" w14:textId="77777777" w:rsidR="008315B8" w:rsidRDefault="008315B8" w:rsidP="00F6154B">
            <w:pPr>
              <w:jc w:val="center"/>
            </w:pPr>
          </w:p>
        </w:tc>
        <w:tc>
          <w:tcPr>
            <w:tcW w:w="494" w:type="dxa"/>
            <w:vAlign w:val="center"/>
          </w:tcPr>
          <w:p w14:paraId="7E47C6BC" w14:textId="77777777" w:rsidR="008315B8" w:rsidRDefault="008315B8" w:rsidP="00F6154B">
            <w:pPr>
              <w:jc w:val="center"/>
            </w:pPr>
          </w:p>
        </w:tc>
        <w:tc>
          <w:tcPr>
            <w:tcW w:w="494" w:type="dxa"/>
            <w:vAlign w:val="center"/>
          </w:tcPr>
          <w:p w14:paraId="22A01183" w14:textId="77777777" w:rsidR="008315B8" w:rsidRDefault="008315B8" w:rsidP="00F6154B">
            <w:pPr>
              <w:jc w:val="center"/>
            </w:pPr>
          </w:p>
        </w:tc>
        <w:tc>
          <w:tcPr>
            <w:tcW w:w="494" w:type="dxa"/>
            <w:vAlign w:val="center"/>
          </w:tcPr>
          <w:p w14:paraId="71CC81C3" w14:textId="77777777" w:rsidR="008315B8" w:rsidRDefault="008315B8" w:rsidP="00F6154B">
            <w:pPr>
              <w:jc w:val="center"/>
            </w:pPr>
          </w:p>
        </w:tc>
      </w:tr>
      <w:tr w:rsidR="008315B8" w14:paraId="4E54BEFE" w14:textId="77777777" w:rsidTr="008315B8">
        <w:tc>
          <w:tcPr>
            <w:tcW w:w="2021" w:type="dxa"/>
            <w:vMerge/>
            <w:vAlign w:val="center"/>
          </w:tcPr>
          <w:p w14:paraId="520291CF" w14:textId="77777777" w:rsidR="008315B8" w:rsidRDefault="008315B8" w:rsidP="00F6154B"/>
        </w:tc>
        <w:tc>
          <w:tcPr>
            <w:tcW w:w="2040" w:type="dxa"/>
            <w:vAlign w:val="center"/>
          </w:tcPr>
          <w:p w14:paraId="47A08CDD" w14:textId="77777777" w:rsidR="008315B8" w:rsidRDefault="008315B8" w:rsidP="00F6154B">
            <w:r>
              <w:t>Estimating financial need for investment</w:t>
            </w:r>
          </w:p>
        </w:tc>
        <w:tc>
          <w:tcPr>
            <w:tcW w:w="1498" w:type="dxa"/>
            <w:vAlign w:val="center"/>
          </w:tcPr>
          <w:p w14:paraId="7548CBE1" w14:textId="77777777" w:rsidR="008315B8" w:rsidRDefault="008315B8" w:rsidP="00F6154B">
            <w:r>
              <w:t>MMDE</w:t>
            </w:r>
          </w:p>
        </w:tc>
        <w:tc>
          <w:tcPr>
            <w:tcW w:w="494" w:type="dxa"/>
            <w:shd w:val="clear" w:color="auto" w:fill="FFFFFF" w:themeFill="background1"/>
            <w:vAlign w:val="center"/>
          </w:tcPr>
          <w:p w14:paraId="04C26F87" w14:textId="77777777" w:rsidR="008315B8" w:rsidRDefault="008315B8" w:rsidP="00F6154B">
            <w:pPr>
              <w:jc w:val="center"/>
            </w:pPr>
          </w:p>
        </w:tc>
        <w:tc>
          <w:tcPr>
            <w:tcW w:w="494" w:type="dxa"/>
            <w:shd w:val="clear" w:color="auto" w:fill="BFBFBF" w:themeFill="background1" w:themeFillShade="BF"/>
            <w:vAlign w:val="center"/>
          </w:tcPr>
          <w:p w14:paraId="323D3A07" w14:textId="77777777" w:rsidR="008315B8" w:rsidRDefault="008315B8" w:rsidP="00F6154B">
            <w:pPr>
              <w:jc w:val="center"/>
            </w:pPr>
          </w:p>
        </w:tc>
        <w:tc>
          <w:tcPr>
            <w:tcW w:w="494" w:type="dxa"/>
            <w:vAlign w:val="center"/>
          </w:tcPr>
          <w:p w14:paraId="71E7E9EB" w14:textId="77777777" w:rsidR="008315B8" w:rsidRDefault="008315B8" w:rsidP="00F6154B">
            <w:pPr>
              <w:jc w:val="center"/>
            </w:pPr>
          </w:p>
        </w:tc>
        <w:tc>
          <w:tcPr>
            <w:tcW w:w="494" w:type="dxa"/>
            <w:vAlign w:val="center"/>
          </w:tcPr>
          <w:p w14:paraId="6905D23B" w14:textId="77777777" w:rsidR="008315B8" w:rsidRDefault="008315B8" w:rsidP="00F6154B">
            <w:pPr>
              <w:jc w:val="center"/>
            </w:pPr>
          </w:p>
        </w:tc>
        <w:tc>
          <w:tcPr>
            <w:tcW w:w="494" w:type="dxa"/>
            <w:vAlign w:val="center"/>
          </w:tcPr>
          <w:p w14:paraId="1F5F1700" w14:textId="77777777" w:rsidR="008315B8" w:rsidRDefault="008315B8" w:rsidP="00F6154B">
            <w:pPr>
              <w:jc w:val="center"/>
            </w:pPr>
          </w:p>
        </w:tc>
        <w:tc>
          <w:tcPr>
            <w:tcW w:w="494" w:type="dxa"/>
            <w:vAlign w:val="center"/>
          </w:tcPr>
          <w:p w14:paraId="1E020E41" w14:textId="77777777" w:rsidR="008315B8" w:rsidRDefault="008315B8" w:rsidP="00F6154B">
            <w:pPr>
              <w:jc w:val="center"/>
            </w:pPr>
          </w:p>
        </w:tc>
        <w:tc>
          <w:tcPr>
            <w:tcW w:w="494" w:type="dxa"/>
            <w:vAlign w:val="center"/>
          </w:tcPr>
          <w:p w14:paraId="4FE99061" w14:textId="77777777" w:rsidR="008315B8" w:rsidRDefault="008315B8" w:rsidP="00F6154B">
            <w:pPr>
              <w:jc w:val="center"/>
            </w:pPr>
          </w:p>
        </w:tc>
      </w:tr>
      <w:tr w:rsidR="008315B8" w14:paraId="2F0CFDFC" w14:textId="77777777" w:rsidTr="008315B8">
        <w:tc>
          <w:tcPr>
            <w:tcW w:w="2021" w:type="dxa"/>
            <w:vMerge w:val="restart"/>
            <w:vAlign w:val="center"/>
          </w:tcPr>
          <w:p w14:paraId="242FE360" w14:textId="77777777" w:rsidR="008315B8" w:rsidRDefault="008315B8" w:rsidP="00F6154B">
            <w:r>
              <w:t>Initial set up</w:t>
            </w:r>
          </w:p>
        </w:tc>
        <w:tc>
          <w:tcPr>
            <w:tcW w:w="2040" w:type="dxa"/>
            <w:vAlign w:val="center"/>
          </w:tcPr>
          <w:p w14:paraId="5C32B031" w14:textId="77777777" w:rsidR="008315B8" w:rsidRDefault="008315B8" w:rsidP="00F6154B">
            <w:r>
              <w:t>Preliminary discussions among main stakeholders</w:t>
            </w:r>
          </w:p>
        </w:tc>
        <w:tc>
          <w:tcPr>
            <w:tcW w:w="1498" w:type="dxa"/>
            <w:vAlign w:val="center"/>
          </w:tcPr>
          <w:p w14:paraId="1F9E2B3C" w14:textId="77777777" w:rsidR="008315B8" w:rsidRDefault="008315B8" w:rsidP="00F6154B">
            <w:r>
              <w:t>MF</w:t>
            </w:r>
          </w:p>
          <w:p w14:paraId="11ED51B3" w14:textId="77777777" w:rsidR="008315B8" w:rsidRDefault="008315B8" w:rsidP="00F6154B">
            <w:r>
              <w:t>CBSL</w:t>
            </w:r>
          </w:p>
          <w:p w14:paraId="5863FCA5" w14:textId="77777777" w:rsidR="008315B8" w:rsidRDefault="008315B8" w:rsidP="00F6154B">
            <w:r>
              <w:t>MMDE</w:t>
            </w:r>
          </w:p>
        </w:tc>
        <w:tc>
          <w:tcPr>
            <w:tcW w:w="494" w:type="dxa"/>
            <w:shd w:val="clear" w:color="auto" w:fill="FFFFFF" w:themeFill="background1"/>
            <w:vAlign w:val="center"/>
          </w:tcPr>
          <w:p w14:paraId="0EE01DC3" w14:textId="77777777" w:rsidR="008315B8" w:rsidRDefault="008315B8" w:rsidP="00F6154B">
            <w:pPr>
              <w:jc w:val="center"/>
            </w:pPr>
          </w:p>
        </w:tc>
        <w:tc>
          <w:tcPr>
            <w:tcW w:w="494" w:type="dxa"/>
            <w:shd w:val="clear" w:color="auto" w:fill="BFBFBF" w:themeFill="background1" w:themeFillShade="BF"/>
            <w:vAlign w:val="center"/>
          </w:tcPr>
          <w:p w14:paraId="46E270D2" w14:textId="77777777" w:rsidR="008315B8" w:rsidRDefault="008315B8" w:rsidP="00F6154B">
            <w:pPr>
              <w:jc w:val="center"/>
            </w:pPr>
          </w:p>
        </w:tc>
        <w:tc>
          <w:tcPr>
            <w:tcW w:w="494" w:type="dxa"/>
            <w:shd w:val="clear" w:color="auto" w:fill="BFBFBF" w:themeFill="background1" w:themeFillShade="BF"/>
            <w:vAlign w:val="center"/>
          </w:tcPr>
          <w:p w14:paraId="780EFDDB" w14:textId="77777777" w:rsidR="008315B8" w:rsidRDefault="008315B8" w:rsidP="00F6154B">
            <w:pPr>
              <w:jc w:val="center"/>
            </w:pPr>
          </w:p>
        </w:tc>
        <w:tc>
          <w:tcPr>
            <w:tcW w:w="494" w:type="dxa"/>
            <w:vAlign w:val="center"/>
          </w:tcPr>
          <w:p w14:paraId="722DA507" w14:textId="77777777" w:rsidR="008315B8" w:rsidRDefault="008315B8" w:rsidP="00F6154B">
            <w:pPr>
              <w:jc w:val="center"/>
            </w:pPr>
          </w:p>
        </w:tc>
        <w:tc>
          <w:tcPr>
            <w:tcW w:w="494" w:type="dxa"/>
            <w:vAlign w:val="center"/>
          </w:tcPr>
          <w:p w14:paraId="5C210217" w14:textId="77777777" w:rsidR="008315B8" w:rsidRDefault="008315B8" w:rsidP="00F6154B">
            <w:pPr>
              <w:jc w:val="center"/>
            </w:pPr>
          </w:p>
        </w:tc>
        <w:tc>
          <w:tcPr>
            <w:tcW w:w="494" w:type="dxa"/>
            <w:vAlign w:val="center"/>
          </w:tcPr>
          <w:p w14:paraId="795A12A1" w14:textId="77777777" w:rsidR="008315B8" w:rsidRDefault="008315B8" w:rsidP="00F6154B">
            <w:pPr>
              <w:jc w:val="center"/>
            </w:pPr>
          </w:p>
        </w:tc>
        <w:tc>
          <w:tcPr>
            <w:tcW w:w="494" w:type="dxa"/>
            <w:vAlign w:val="center"/>
          </w:tcPr>
          <w:p w14:paraId="0F89A85F" w14:textId="77777777" w:rsidR="008315B8" w:rsidRDefault="008315B8" w:rsidP="00F6154B">
            <w:pPr>
              <w:jc w:val="center"/>
            </w:pPr>
          </w:p>
        </w:tc>
      </w:tr>
      <w:tr w:rsidR="008315B8" w14:paraId="3FCD20B7" w14:textId="77777777" w:rsidTr="008315B8">
        <w:tc>
          <w:tcPr>
            <w:tcW w:w="2021" w:type="dxa"/>
            <w:vMerge/>
            <w:vAlign w:val="center"/>
          </w:tcPr>
          <w:p w14:paraId="20786C3D" w14:textId="77777777" w:rsidR="008315B8" w:rsidRDefault="008315B8" w:rsidP="00F6154B"/>
        </w:tc>
        <w:tc>
          <w:tcPr>
            <w:tcW w:w="2040" w:type="dxa"/>
            <w:vAlign w:val="center"/>
          </w:tcPr>
          <w:p w14:paraId="46DD22C5" w14:textId="77777777" w:rsidR="008315B8" w:rsidRDefault="008315B8" w:rsidP="00F6154B">
            <w:r>
              <w:t>Documentation and Cabinet approval</w:t>
            </w:r>
          </w:p>
        </w:tc>
        <w:tc>
          <w:tcPr>
            <w:tcW w:w="1498" w:type="dxa"/>
            <w:vAlign w:val="center"/>
          </w:tcPr>
          <w:p w14:paraId="2C8BCBC4" w14:textId="77777777" w:rsidR="008315B8" w:rsidRDefault="008315B8" w:rsidP="00F6154B">
            <w:r>
              <w:t>MF</w:t>
            </w:r>
          </w:p>
          <w:p w14:paraId="0A14DCC6" w14:textId="77777777" w:rsidR="008315B8" w:rsidRDefault="008315B8" w:rsidP="00F6154B">
            <w:r>
              <w:t>CBSL</w:t>
            </w:r>
          </w:p>
        </w:tc>
        <w:tc>
          <w:tcPr>
            <w:tcW w:w="494" w:type="dxa"/>
            <w:vAlign w:val="center"/>
          </w:tcPr>
          <w:p w14:paraId="5D663EBE" w14:textId="77777777" w:rsidR="008315B8" w:rsidRDefault="008315B8" w:rsidP="00F6154B">
            <w:pPr>
              <w:jc w:val="center"/>
            </w:pPr>
          </w:p>
        </w:tc>
        <w:tc>
          <w:tcPr>
            <w:tcW w:w="494" w:type="dxa"/>
            <w:shd w:val="clear" w:color="auto" w:fill="FFFFFF" w:themeFill="background1"/>
            <w:vAlign w:val="center"/>
          </w:tcPr>
          <w:p w14:paraId="3681DC4F" w14:textId="77777777" w:rsidR="008315B8" w:rsidRDefault="008315B8" w:rsidP="00F6154B">
            <w:pPr>
              <w:jc w:val="center"/>
            </w:pPr>
          </w:p>
        </w:tc>
        <w:tc>
          <w:tcPr>
            <w:tcW w:w="494" w:type="dxa"/>
            <w:shd w:val="clear" w:color="auto" w:fill="BFBFBF" w:themeFill="background1" w:themeFillShade="BF"/>
            <w:vAlign w:val="center"/>
          </w:tcPr>
          <w:p w14:paraId="2EEDA202" w14:textId="77777777" w:rsidR="008315B8" w:rsidRDefault="008315B8" w:rsidP="00F6154B">
            <w:pPr>
              <w:jc w:val="center"/>
            </w:pPr>
          </w:p>
        </w:tc>
        <w:tc>
          <w:tcPr>
            <w:tcW w:w="494" w:type="dxa"/>
            <w:vAlign w:val="center"/>
          </w:tcPr>
          <w:p w14:paraId="6D6D025D" w14:textId="77777777" w:rsidR="008315B8" w:rsidRDefault="008315B8" w:rsidP="00F6154B">
            <w:pPr>
              <w:jc w:val="center"/>
            </w:pPr>
          </w:p>
        </w:tc>
        <w:tc>
          <w:tcPr>
            <w:tcW w:w="494" w:type="dxa"/>
            <w:vAlign w:val="center"/>
          </w:tcPr>
          <w:p w14:paraId="0A00893F" w14:textId="77777777" w:rsidR="008315B8" w:rsidRDefault="008315B8" w:rsidP="00F6154B">
            <w:pPr>
              <w:jc w:val="center"/>
            </w:pPr>
          </w:p>
        </w:tc>
        <w:tc>
          <w:tcPr>
            <w:tcW w:w="494" w:type="dxa"/>
            <w:vAlign w:val="center"/>
          </w:tcPr>
          <w:p w14:paraId="519DF93F" w14:textId="77777777" w:rsidR="008315B8" w:rsidRDefault="008315B8" w:rsidP="00F6154B">
            <w:pPr>
              <w:jc w:val="center"/>
            </w:pPr>
          </w:p>
        </w:tc>
        <w:tc>
          <w:tcPr>
            <w:tcW w:w="494" w:type="dxa"/>
            <w:vAlign w:val="center"/>
          </w:tcPr>
          <w:p w14:paraId="346FCB0A" w14:textId="77777777" w:rsidR="008315B8" w:rsidRDefault="008315B8" w:rsidP="00F6154B">
            <w:pPr>
              <w:jc w:val="center"/>
            </w:pPr>
          </w:p>
        </w:tc>
      </w:tr>
      <w:tr w:rsidR="008315B8" w14:paraId="02F08674" w14:textId="77777777" w:rsidTr="008315B8">
        <w:tc>
          <w:tcPr>
            <w:tcW w:w="2021" w:type="dxa"/>
            <w:vMerge w:val="restart"/>
            <w:vAlign w:val="center"/>
          </w:tcPr>
          <w:p w14:paraId="3B6CDD67" w14:textId="77777777" w:rsidR="008315B8" w:rsidRDefault="008315B8" w:rsidP="00F6154B">
            <w:r>
              <w:t>Finalization of the approval process</w:t>
            </w:r>
          </w:p>
        </w:tc>
        <w:tc>
          <w:tcPr>
            <w:tcW w:w="2040" w:type="dxa"/>
            <w:vAlign w:val="center"/>
          </w:tcPr>
          <w:p w14:paraId="5A7698D9" w14:textId="77777777" w:rsidR="008315B8" w:rsidRDefault="008315B8" w:rsidP="00F6154B">
            <w:r>
              <w:t>Appointing Steering Committee (SC) and Technical Committee (TE)</w:t>
            </w:r>
          </w:p>
        </w:tc>
        <w:tc>
          <w:tcPr>
            <w:tcW w:w="1498" w:type="dxa"/>
            <w:vAlign w:val="center"/>
          </w:tcPr>
          <w:p w14:paraId="12D2B445" w14:textId="77777777" w:rsidR="008315B8" w:rsidRDefault="008315B8" w:rsidP="00F6154B">
            <w:r>
              <w:t>MF</w:t>
            </w:r>
          </w:p>
          <w:p w14:paraId="385A8313" w14:textId="77777777" w:rsidR="008315B8" w:rsidRDefault="008315B8" w:rsidP="00F6154B">
            <w:r>
              <w:t>CBSL</w:t>
            </w:r>
          </w:p>
        </w:tc>
        <w:tc>
          <w:tcPr>
            <w:tcW w:w="494" w:type="dxa"/>
            <w:vAlign w:val="center"/>
          </w:tcPr>
          <w:p w14:paraId="036338BD" w14:textId="77777777" w:rsidR="008315B8" w:rsidRDefault="008315B8" w:rsidP="00F6154B">
            <w:pPr>
              <w:jc w:val="center"/>
            </w:pPr>
          </w:p>
        </w:tc>
        <w:tc>
          <w:tcPr>
            <w:tcW w:w="494" w:type="dxa"/>
            <w:shd w:val="clear" w:color="auto" w:fill="FFFFFF" w:themeFill="background1"/>
            <w:vAlign w:val="center"/>
          </w:tcPr>
          <w:p w14:paraId="10844D0E" w14:textId="77777777" w:rsidR="008315B8" w:rsidRDefault="008315B8" w:rsidP="00F6154B">
            <w:pPr>
              <w:jc w:val="center"/>
            </w:pPr>
          </w:p>
        </w:tc>
        <w:tc>
          <w:tcPr>
            <w:tcW w:w="494" w:type="dxa"/>
            <w:shd w:val="clear" w:color="auto" w:fill="BFBFBF" w:themeFill="background1" w:themeFillShade="BF"/>
            <w:vAlign w:val="center"/>
          </w:tcPr>
          <w:p w14:paraId="3E8CD3E0" w14:textId="77777777" w:rsidR="008315B8" w:rsidRDefault="008315B8" w:rsidP="00F6154B">
            <w:pPr>
              <w:jc w:val="center"/>
            </w:pPr>
          </w:p>
        </w:tc>
        <w:tc>
          <w:tcPr>
            <w:tcW w:w="494" w:type="dxa"/>
            <w:shd w:val="clear" w:color="auto" w:fill="BFBFBF" w:themeFill="background1" w:themeFillShade="BF"/>
            <w:vAlign w:val="center"/>
          </w:tcPr>
          <w:p w14:paraId="3BA8FE49" w14:textId="77777777" w:rsidR="008315B8" w:rsidRDefault="008315B8" w:rsidP="00F6154B">
            <w:pPr>
              <w:jc w:val="center"/>
            </w:pPr>
          </w:p>
        </w:tc>
        <w:tc>
          <w:tcPr>
            <w:tcW w:w="494" w:type="dxa"/>
            <w:vAlign w:val="center"/>
          </w:tcPr>
          <w:p w14:paraId="5D2FFC0D" w14:textId="77777777" w:rsidR="008315B8" w:rsidRDefault="008315B8" w:rsidP="00F6154B">
            <w:pPr>
              <w:jc w:val="center"/>
            </w:pPr>
          </w:p>
        </w:tc>
        <w:tc>
          <w:tcPr>
            <w:tcW w:w="494" w:type="dxa"/>
            <w:vAlign w:val="center"/>
          </w:tcPr>
          <w:p w14:paraId="14E56E25" w14:textId="77777777" w:rsidR="008315B8" w:rsidRDefault="008315B8" w:rsidP="00F6154B">
            <w:pPr>
              <w:jc w:val="center"/>
            </w:pPr>
          </w:p>
        </w:tc>
        <w:tc>
          <w:tcPr>
            <w:tcW w:w="494" w:type="dxa"/>
            <w:vAlign w:val="center"/>
          </w:tcPr>
          <w:p w14:paraId="40BF38BD" w14:textId="77777777" w:rsidR="008315B8" w:rsidRDefault="008315B8" w:rsidP="00F6154B">
            <w:pPr>
              <w:jc w:val="center"/>
            </w:pPr>
          </w:p>
        </w:tc>
      </w:tr>
      <w:tr w:rsidR="008315B8" w14:paraId="04B3D009" w14:textId="77777777" w:rsidTr="008315B8">
        <w:tc>
          <w:tcPr>
            <w:tcW w:w="2021" w:type="dxa"/>
            <w:vMerge/>
            <w:vAlign w:val="center"/>
          </w:tcPr>
          <w:p w14:paraId="6062B0CF" w14:textId="77777777" w:rsidR="008315B8" w:rsidRDefault="008315B8" w:rsidP="00F6154B"/>
        </w:tc>
        <w:tc>
          <w:tcPr>
            <w:tcW w:w="2040" w:type="dxa"/>
            <w:vAlign w:val="center"/>
          </w:tcPr>
          <w:p w14:paraId="4525D689" w14:textId="77777777" w:rsidR="008315B8" w:rsidRDefault="008315B8" w:rsidP="00F6154B">
            <w:r>
              <w:t>Appointing Lead Managers</w:t>
            </w:r>
          </w:p>
        </w:tc>
        <w:tc>
          <w:tcPr>
            <w:tcW w:w="1498" w:type="dxa"/>
            <w:vAlign w:val="center"/>
          </w:tcPr>
          <w:p w14:paraId="57A40E60" w14:textId="77777777" w:rsidR="008315B8" w:rsidRDefault="008315B8" w:rsidP="00F6154B">
            <w:r>
              <w:t>SC/TC</w:t>
            </w:r>
          </w:p>
        </w:tc>
        <w:tc>
          <w:tcPr>
            <w:tcW w:w="494" w:type="dxa"/>
            <w:vAlign w:val="center"/>
          </w:tcPr>
          <w:p w14:paraId="4BC85317" w14:textId="77777777" w:rsidR="008315B8" w:rsidRDefault="008315B8" w:rsidP="00F6154B">
            <w:pPr>
              <w:jc w:val="center"/>
            </w:pPr>
          </w:p>
        </w:tc>
        <w:tc>
          <w:tcPr>
            <w:tcW w:w="494" w:type="dxa"/>
            <w:vAlign w:val="center"/>
          </w:tcPr>
          <w:p w14:paraId="5F286781" w14:textId="77777777" w:rsidR="008315B8" w:rsidRDefault="008315B8" w:rsidP="00F6154B">
            <w:pPr>
              <w:jc w:val="center"/>
            </w:pPr>
          </w:p>
        </w:tc>
        <w:tc>
          <w:tcPr>
            <w:tcW w:w="494" w:type="dxa"/>
            <w:vAlign w:val="center"/>
          </w:tcPr>
          <w:p w14:paraId="2C17AB03" w14:textId="77777777" w:rsidR="008315B8" w:rsidRDefault="008315B8" w:rsidP="00F6154B">
            <w:pPr>
              <w:jc w:val="center"/>
            </w:pPr>
          </w:p>
        </w:tc>
        <w:tc>
          <w:tcPr>
            <w:tcW w:w="494" w:type="dxa"/>
            <w:shd w:val="clear" w:color="auto" w:fill="BFBFBF" w:themeFill="background1" w:themeFillShade="BF"/>
            <w:vAlign w:val="center"/>
          </w:tcPr>
          <w:p w14:paraId="23086231" w14:textId="77777777" w:rsidR="008315B8" w:rsidRDefault="008315B8" w:rsidP="00F6154B">
            <w:pPr>
              <w:jc w:val="center"/>
            </w:pPr>
          </w:p>
        </w:tc>
        <w:tc>
          <w:tcPr>
            <w:tcW w:w="494" w:type="dxa"/>
            <w:vAlign w:val="center"/>
          </w:tcPr>
          <w:p w14:paraId="13ABABF3" w14:textId="77777777" w:rsidR="008315B8" w:rsidRDefault="008315B8" w:rsidP="00F6154B">
            <w:pPr>
              <w:jc w:val="center"/>
            </w:pPr>
          </w:p>
        </w:tc>
        <w:tc>
          <w:tcPr>
            <w:tcW w:w="494" w:type="dxa"/>
            <w:vAlign w:val="center"/>
          </w:tcPr>
          <w:p w14:paraId="3BF03AF5" w14:textId="77777777" w:rsidR="008315B8" w:rsidRDefault="008315B8" w:rsidP="00F6154B">
            <w:pPr>
              <w:jc w:val="center"/>
            </w:pPr>
          </w:p>
        </w:tc>
        <w:tc>
          <w:tcPr>
            <w:tcW w:w="494" w:type="dxa"/>
            <w:vAlign w:val="center"/>
          </w:tcPr>
          <w:p w14:paraId="0A128CE4" w14:textId="77777777" w:rsidR="008315B8" w:rsidRDefault="008315B8" w:rsidP="00F6154B">
            <w:pPr>
              <w:jc w:val="center"/>
            </w:pPr>
          </w:p>
        </w:tc>
      </w:tr>
      <w:tr w:rsidR="008315B8" w14:paraId="194ED869" w14:textId="77777777" w:rsidTr="008315B8">
        <w:tc>
          <w:tcPr>
            <w:tcW w:w="2021" w:type="dxa"/>
            <w:vMerge/>
            <w:vAlign w:val="center"/>
          </w:tcPr>
          <w:p w14:paraId="0140AE82" w14:textId="77777777" w:rsidR="008315B8" w:rsidRDefault="008315B8" w:rsidP="00F6154B"/>
        </w:tc>
        <w:tc>
          <w:tcPr>
            <w:tcW w:w="2040" w:type="dxa"/>
            <w:vAlign w:val="center"/>
          </w:tcPr>
          <w:p w14:paraId="29735E69" w14:textId="77777777" w:rsidR="008315B8" w:rsidRDefault="008315B8" w:rsidP="00F6154B">
            <w:r>
              <w:t>Documentation and Monetary Board approval</w:t>
            </w:r>
          </w:p>
        </w:tc>
        <w:tc>
          <w:tcPr>
            <w:tcW w:w="1498" w:type="dxa"/>
            <w:vAlign w:val="center"/>
          </w:tcPr>
          <w:p w14:paraId="49F9A9ED" w14:textId="77777777" w:rsidR="008315B8" w:rsidRDefault="008315B8" w:rsidP="00F6154B">
            <w:r>
              <w:t>SC/TC</w:t>
            </w:r>
          </w:p>
        </w:tc>
        <w:tc>
          <w:tcPr>
            <w:tcW w:w="494" w:type="dxa"/>
            <w:vAlign w:val="center"/>
          </w:tcPr>
          <w:p w14:paraId="09F8CEE4" w14:textId="77777777" w:rsidR="008315B8" w:rsidRDefault="008315B8" w:rsidP="00F6154B">
            <w:pPr>
              <w:jc w:val="center"/>
            </w:pPr>
          </w:p>
        </w:tc>
        <w:tc>
          <w:tcPr>
            <w:tcW w:w="494" w:type="dxa"/>
            <w:vAlign w:val="center"/>
          </w:tcPr>
          <w:p w14:paraId="2925BE45" w14:textId="77777777" w:rsidR="008315B8" w:rsidRDefault="008315B8" w:rsidP="00F6154B">
            <w:pPr>
              <w:jc w:val="center"/>
            </w:pPr>
          </w:p>
        </w:tc>
        <w:tc>
          <w:tcPr>
            <w:tcW w:w="494" w:type="dxa"/>
            <w:vAlign w:val="center"/>
          </w:tcPr>
          <w:p w14:paraId="280134CF" w14:textId="77777777" w:rsidR="008315B8" w:rsidRDefault="008315B8" w:rsidP="00F6154B">
            <w:pPr>
              <w:jc w:val="center"/>
            </w:pPr>
          </w:p>
        </w:tc>
        <w:tc>
          <w:tcPr>
            <w:tcW w:w="494" w:type="dxa"/>
            <w:shd w:val="clear" w:color="auto" w:fill="BFBFBF" w:themeFill="background1" w:themeFillShade="BF"/>
            <w:vAlign w:val="center"/>
          </w:tcPr>
          <w:p w14:paraId="5153B793" w14:textId="77777777" w:rsidR="008315B8" w:rsidRDefault="008315B8" w:rsidP="00F6154B">
            <w:pPr>
              <w:jc w:val="center"/>
            </w:pPr>
          </w:p>
        </w:tc>
        <w:tc>
          <w:tcPr>
            <w:tcW w:w="494" w:type="dxa"/>
            <w:vAlign w:val="center"/>
          </w:tcPr>
          <w:p w14:paraId="13B65C18" w14:textId="77777777" w:rsidR="008315B8" w:rsidRDefault="008315B8" w:rsidP="00F6154B">
            <w:pPr>
              <w:jc w:val="center"/>
            </w:pPr>
          </w:p>
        </w:tc>
        <w:tc>
          <w:tcPr>
            <w:tcW w:w="494" w:type="dxa"/>
            <w:vAlign w:val="center"/>
          </w:tcPr>
          <w:p w14:paraId="55F7C874" w14:textId="77777777" w:rsidR="008315B8" w:rsidRDefault="008315B8" w:rsidP="00F6154B">
            <w:pPr>
              <w:jc w:val="center"/>
            </w:pPr>
          </w:p>
        </w:tc>
        <w:tc>
          <w:tcPr>
            <w:tcW w:w="494" w:type="dxa"/>
            <w:vAlign w:val="center"/>
          </w:tcPr>
          <w:p w14:paraId="1DD1EBC6" w14:textId="77777777" w:rsidR="008315B8" w:rsidRDefault="008315B8" w:rsidP="00F6154B">
            <w:pPr>
              <w:jc w:val="center"/>
            </w:pPr>
          </w:p>
        </w:tc>
      </w:tr>
      <w:tr w:rsidR="008315B8" w14:paraId="6D1B2593" w14:textId="77777777" w:rsidTr="008315B8">
        <w:tc>
          <w:tcPr>
            <w:tcW w:w="2021" w:type="dxa"/>
            <w:vMerge/>
            <w:vAlign w:val="center"/>
          </w:tcPr>
          <w:p w14:paraId="00D0E095" w14:textId="77777777" w:rsidR="008315B8" w:rsidRDefault="008315B8" w:rsidP="00F6154B"/>
        </w:tc>
        <w:tc>
          <w:tcPr>
            <w:tcW w:w="2040" w:type="dxa"/>
            <w:vAlign w:val="center"/>
          </w:tcPr>
          <w:p w14:paraId="68445C97" w14:textId="77777777" w:rsidR="008315B8" w:rsidRDefault="008315B8" w:rsidP="00F6154B">
            <w:r>
              <w:t>Final Cabinet approval</w:t>
            </w:r>
          </w:p>
        </w:tc>
        <w:tc>
          <w:tcPr>
            <w:tcW w:w="1498" w:type="dxa"/>
            <w:vAlign w:val="center"/>
          </w:tcPr>
          <w:p w14:paraId="21A0E9FF" w14:textId="77777777" w:rsidR="008315B8" w:rsidRDefault="008315B8" w:rsidP="00F6154B">
            <w:r>
              <w:t>MF</w:t>
            </w:r>
          </w:p>
          <w:p w14:paraId="353D921C" w14:textId="77777777" w:rsidR="008315B8" w:rsidRDefault="008315B8" w:rsidP="00F6154B">
            <w:r>
              <w:t>CBSL</w:t>
            </w:r>
          </w:p>
        </w:tc>
        <w:tc>
          <w:tcPr>
            <w:tcW w:w="494" w:type="dxa"/>
            <w:vAlign w:val="center"/>
          </w:tcPr>
          <w:p w14:paraId="161B1809" w14:textId="77777777" w:rsidR="008315B8" w:rsidRDefault="008315B8" w:rsidP="00F6154B">
            <w:pPr>
              <w:jc w:val="center"/>
            </w:pPr>
          </w:p>
        </w:tc>
        <w:tc>
          <w:tcPr>
            <w:tcW w:w="494" w:type="dxa"/>
            <w:vAlign w:val="center"/>
          </w:tcPr>
          <w:p w14:paraId="2875DF46" w14:textId="77777777" w:rsidR="008315B8" w:rsidRDefault="008315B8" w:rsidP="00F6154B">
            <w:pPr>
              <w:jc w:val="center"/>
            </w:pPr>
          </w:p>
        </w:tc>
        <w:tc>
          <w:tcPr>
            <w:tcW w:w="494" w:type="dxa"/>
            <w:vAlign w:val="center"/>
          </w:tcPr>
          <w:p w14:paraId="4D033747" w14:textId="77777777" w:rsidR="008315B8" w:rsidRDefault="008315B8" w:rsidP="00F6154B">
            <w:pPr>
              <w:jc w:val="center"/>
            </w:pPr>
          </w:p>
        </w:tc>
        <w:tc>
          <w:tcPr>
            <w:tcW w:w="494" w:type="dxa"/>
            <w:shd w:val="clear" w:color="auto" w:fill="BFBFBF" w:themeFill="background1" w:themeFillShade="BF"/>
            <w:vAlign w:val="center"/>
          </w:tcPr>
          <w:p w14:paraId="0F6C7723" w14:textId="77777777" w:rsidR="008315B8" w:rsidRDefault="008315B8" w:rsidP="00F6154B">
            <w:pPr>
              <w:jc w:val="center"/>
            </w:pPr>
          </w:p>
        </w:tc>
        <w:tc>
          <w:tcPr>
            <w:tcW w:w="494" w:type="dxa"/>
            <w:vAlign w:val="center"/>
          </w:tcPr>
          <w:p w14:paraId="4F23331C" w14:textId="77777777" w:rsidR="008315B8" w:rsidRDefault="008315B8" w:rsidP="00F6154B">
            <w:pPr>
              <w:jc w:val="center"/>
            </w:pPr>
          </w:p>
        </w:tc>
        <w:tc>
          <w:tcPr>
            <w:tcW w:w="494" w:type="dxa"/>
            <w:vAlign w:val="center"/>
          </w:tcPr>
          <w:p w14:paraId="146C9842" w14:textId="77777777" w:rsidR="008315B8" w:rsidRDefault="008315B8" w:rsidP="00F6154B">
            <w:pPr>
              <w:jc w:val="center"/>
            </w:pPr>
          </w:p>
        </w:tc>
        <w:tc>
          <w:tcPr>
            <w:tcW w:w="494" w:type="dxa"/>
            <w:vAlign w:val="center"/>
          </w:tcPr>
          <w:p w14:paraId="2519E2B6" w14:textId="77777777" w:rsidR="008315B8" w:rsidRDefault="008315B8" w:rsidP="00F6154B">
            <w:pPr>
              <w:jc w:val="center"/>
            </w:pPr>
          </w:p>
        </w:tc>
      </w:tr>
      <w:tr w:rsidR="008315B8" w14:paraId="313FAF9F" w14:textId="77777777" w:rsidTr="008315B8">
        <w:tc>
          <w:tcPr>
            <w:tcW w:w="2021" w:type="dxa"/>
            <w:vMerge w:val="restart"/>
            <w:vAlign w:val="center"/>
          </w:tcPr>
          <w:p w14:paraId="457D60DA" w14:textId="77777777" w:rsidR="008315B8" w:rsidRDefault="008315B8" w:rsidP="00F6154B">
            <w:r>
              <w:t>Initial offer</w:t>
            </w:r>
          </w:p>
        </w:tc>
        <w:tc>
          <w:tcPr>
            <w:tcW w:w="2040" w:type="dxa"/>
            <w:vAlign w:val="center"/>
          </w:tcPr>
          <w:p w14:paraId="75F96D20" w14:textId="77777777" w:rsidR="008315B8" w:rsidRDefault="008315B8" w:rsidP="00F6154B">
            <w:r>
              <w:t>Preparing execution plan</w:t>
            </w:r>
          </w:p>
        </w:tc>
        <w:tc>
          <w:tcPr>
            <w:tcW w:w="1498" w:type="dxa"/>
            <w:vAlign w:val="center"/>
          </w:tcPr>
          <w:p w14:paraId="7CDC4DF9" w14:textId="77777777" w:rsidR="008315B8" w:rsidRDefault="008315B8" w:rsidP="00F6154B">
            <w:r>
              <w:t>SC/TC &amp; Lead Managers</w:t>
            </w:r>
          </w:p>
        </w:tc>
        <w:tc>
          <w:tcPr>
            <w:tcW w:w="494" w:type="dxa"/>
            <w:vAlign w:val="center"/>
          </w:tcPr>
          <w:p w14:paraId="2AA83249" w14:textId="77777777" w:rsidR="008315B8" w:rsidRDefault="008315B8" w:rsidP="00F6154B">
            <w:pPr>
              <w:jc w:val="center"/>
            </w:pPr>
          </w:p>
        </w:tc>
        <w:tc>
          <w:tcPr>
            <w:tcW w:w="494" w:type="dxa"/>
            <w:vAlign w:val="center"/>
          </w:tcPr>
          <w:p w14:paraId="119DD27E" w14:textId="77777777" w:rsidR="008315B8" w:rsidRDefault="008315B8" w:rsidP="00F6154B">
            <w:pPr>
              <w:jc w:val="center"/>
            </w:pPr>
          </w:p>
        </w:tc>
        <w:tc>
          <w:tcPr>
            <w:tcW w:w="494" w:type="dxa"/>
            <w:vAlign w:val="center"/>
          </w:tcPr>
          <w:p w14:paraId="6EA0F98C" w14:textId="77777777" w:rsidR="008315B8" w:rsidRDefault="008315B8" w:rsidP="00F6154B">
            <w:pPr>
              <w:jc w:val="center"/>
            </w:pPr>
          </w:p>
        </w:tc>
        <w:tc>
          <w:tcPr>
            <w:tcW w:w="494" w:type="dxa"/>
            <w:shd w:val="clear" w:color="auto" w:fill="BFBFBF" w:themeFill="background1" w:themeFillShade="BF"/>
            <w:vAlign w:val="center"/>
          </w:tcPr>
          <w:p w14:paraId="30925E88" w14:textId="77777777" w:rsidR="008315B8" w:rsidRDefault="008315B8" w:rsidP="00F6154B">
            <w:pPr>
              <w:jc w:val="center"/>
            </w:pPr>
          </w:p>
        </w:tc>
        <w:tc>
          <w:tcPr>
            <w:tcW w:w="494" w:type="dxa"/>
            <w:shd w:val="clear" w:color="auto" w:fill="BFBFBF" w:themeFill="background1" w:themeFillShade="BF"/>
            <w:vAlign w:val="center"/>
          </w:tcPr>
          <w:p w14:paraId="7A4145D1" w14:textId="77777777" w:rsidR="008315B8" w:rsidRDefault="008315B8" w:rsidP="00F6154B">
            <w:pPr>
              <w:jc w:val="center"/>
            </w:pPr>
          </w:p>
        </w:tc>
        <w:tc>
          <w:tcPr>
            <w:tcW w:w="494" w:type="dxa"/>
            <w:vAlign w:val="center"/>
          </w:tcPr>
          <w:p w14:paraId="35206EE5" w14:textId="77777777" w:rsidR="008315B8" w:rsidRDefault="008315B8" w:rsidP="00F6154B">
            <w:pPr>
              <w:jc w:val="center"/>
            </w:pPr>
          </w:p>
        </w:tc>
        <w:tc>
          <w:tcPr>
            <w:tcW w:w="494" w:type="dxa"/>
            <w:vAlign w:val="center"/>
          </w:tcPr>
          <w:p w14:paraId="384B065B" w14:textId="77777777" w:rsidR="008315B8" w:rsidRDefault="008315B8" w:rsidP="00F6154B">
            <w:pPr>
              <w:jc w:val="center"/>
            </w:pPr>
          </w:p>
        </w:tc>
      </w:tr>
      <w:tr w:rsidR="008315B8" w14:paraId="6DB1BECB" w14:textId="77777777" w:rsidTr="008315B8">
        <w:tc>
          <w:tcPr>
            <w:tcW w:w="2021" w:type="dxa"/>
            <w:vMerge/>
            <w:vAlign w:val="center"/>
          </w:tcPr>
          <w:p w14:paraId="73412314" w14:textId="77777777" w:rsidR="008315B8" w:rsidRDefault="008315B8" w:rsidP="00F6154B"/>
        </w:tc>
        <w:tc>
          <w:tcPr>
            <w:tcW w:w="2040" w:type="dxa"/>
            <w:vAlign w:val="center"/>
          </w:tcPr>
          <w:p w14:paraId="24EB9893" w14:textId="77777777" w:rsidR="008315B8" w:rsidRDefault="008315B8" w:rsidP="00F6154B">
            <w:r>
              <w:t>Meeting with market players</w:t>
            </w:r>
          </w:p>
        </w:tc>
        <w:tc>
          <w:tcPr>
            <w:tcW w:w="1498" w:type="dxa"/>
            <w:vAlign w:val="center"/>
          </w:tcPr>
          <w:p w14:paraId="7D48FEDD" w14:textId="77777777" w:rsidR="008315B8" w:rsidRDefault="008315B8" w:rsidP="00F6154B">
            <w:r>
              <w:t>SC/TC</w:t>
            </w:r>
          </w:p>
        </w:tc>
        <w:tc>
          <w:tcPr>
            <w:tcW w:w="494" w:type="dxa"/>
            <w:vAlign w:val="center"/>
          </w:tcPr>
          <w:p w14:paraId="74665EB7" w14:textId="77777777" w:rsidR="008315B8" w:rsidRDefault="008315B8" w:rsidP="00F6154B">
            <w:pPr>
              <w:jc w:val="center"/>
            </w:pPr>
          </w:p>
        </w:tc>
        <w:tc>
          <w:tcPr>
            <w:tcW w:w="494" w:type="dxa"/>
            <w:vAlign w:val="center"/>
          </w:tcPr>
          <w:p w14:paraId="164C8B31" w14:textId="77777777" w:rsidR="008315B8" w:rsidRDefault="008315B8" w:rsidP="00F6154B">
            <w:pPr>
              <w:jc w:val="center"/>
            </w:pPr>
          </w:p>
        </w:tc>
        <w:tc>
          <w:tcPr>
            <w:tcW w:w="494" w:type="dxa"/>
            <w:vAlign w:val="center"/>
          </w:tcPr>
          <w:p w14:paraId="1184A242" w14:textId="77777777" w:rsidR="008315B8" w:rsidRDefault="008315B8" w:rsidP="00F6154B">
            <w:pPr>
              <w:jc w:val="center"/>
            </w:pPr>
          </w:p>
        </w:tc>
        <w:tc>
          <w:tcPr>
            <w:tcW w:w="494" w:type="dxa"/>
            <w:vAlign w:val="center"/>
          </w:tcPr>
          <w:p w14:paraId="28516E15" w14:textId="77777777" w:rsidR="008315B8" w:rsidRDefault="008315B8" w:rsidP="00F6154B">
            <w:pPr>
              <w:jc w:val="center"/>
            </w:pPr>
          </w:p>
        </w:tc>
        <w:tc>
          <w:tcPr>
            <w:tcW w:w="494" w:type="dxa"/>
            <w:shd w:val="clear" w:color="auto" w:fill="BFBFBF" w:themeFill="background1" w:themeFillShade="BF"/>
            <w:vAlign w:val="center"/>
          </w:tcPr>
          <w:p w14:paraId="56F8E6A2" w14:textId="77777777" w:rsidR="008315B8" w:rsidRDefault="008315B8" w:rsidP="00F6154B">
            <w:pPr>
              <w:jc w:val="center"/>
            </w:pPr>
          </w:p>
        </w:tc>
        <w:tc>
          <w:tcPr>
            <w:tcW w:w="494" w:type="dxa"/>
            <w:vAlign w:val="center"/>
          </w:tcPr>
          <w:p w14:paraId="25B4A7E0" w14:textId="77777777" w:rsidR="008315B8" w:rsidRDefault="008315B8" w:rsidP="00F6154B">
            <w:pPr>
              <w:jc w:val="center"/>
            </w:pPr>
          </w:p>
        </w:tc>
        <w:tc>
          <w:tcPr>
            <w:tcW w:w="494" w:type="dxa"/>
            <w:vAlign w:val="center"/>
          </w:tcPr>
          <w:p w14:paraId="1E98F9BE" w14:textId="77777777" w:rsidR="008315B8" w:rsidRDefault="008315B8" w:rsidP="00F6154B">
            <w:pPr>
              <w:jc w:val="center"/>
            </w:pPr>
          </w:p>
        </w:tc>
      </w:tr>
      <w:tr w:rsidR="008315B8" w14:paraId="34506A61" w14:textId="77777777" w:rsidTr="008315B8">
        <w:tc>
          <w:tcPr>
            <w:tcW w:w="2021" w:type="dxa"/>
            <w:vMerge/>
            <w:vAlign w:val="center"/>
          </w:tcPr>
          <w:p w14:paraId="56F16A9B" w14:textId="77777777" w:rsidR="008315B8" w:rsidRDefault="008315B8" w:rsidP="00F6154B"/>
        </w:tc>
        <w:tc>
          <w:tcPr>
            <w:tcW w:w="2040" w:type="dxa"/>
            <w:vAlign w:val="center"/>
          </w:tcPr>
          <w:p w14:paraId="069395B4" w14:textId="77777777" w:rsidR="008315B8" w:rsidRDefault="008315B8" w:rsidP="00F6154B">
            <w:r w:rsidRPr="008444F7">
              <w:t>Issuing the green bond</w:t>
            </w:r>
          </w:p>
        </w:tc>
        <w:tc>
          <w:tcPr>
            <w:tcW w:w="1498" w:type="dxa"/>
            <w:vAlign w:val="center"/>
          </w:tcPr>
          <w:p w14:paraId="66E2C240" w14:textId="77777777" w:rsidR="008315B8" w:rsidRDefault="008315B8" w:rsidP="00F6154B">
            <w:r>
              <w:t>CBSL</w:t>
            </w:r>
          </w:p>
        </w:tc>
        <w:tc>
          <w:tcPr>
            <w:tcW w:w="494" w:type="dxa"/>
            <w:vAlign w:val="center"/>
          </w:tcPr>
          <w:p w14:paraId="2443035E" w14:textId="77777777" w:rsidR="008315B8" w:rsidRDefault="008315B8" w:rsidP="00F6154B">
            <w:pPr>
              <w:jc w:val="center"/>
            </w:pPr>
          </w:p>
        </w:tc>
        <w:tc>
          <w:tcPr>
            <w:tcW w:w="494" w:type="dxa"/>
            <w:vAlign w:val="center"/>
          </w:tcPr>
          <w:p w14:paraId="39E4F920" w14:textId="77777777" w:rsidR="008315B8" w:rsidRDefault="008315B8" w:rsidP="00F6154B">
            <w:pPr>
              <w:jc w:val="center"/>
            </w:pPr>
          </w:p>
        </w:tc>
        <w:tc>
          <w:tcPr>
            <w:tcW w:w="494" w:type="dxa"/>
            <w:vAlign w:val="center"/>
          </w:tcPr>
          <w:p w14:paraId="20362182" w14:textId="77777777" w:rsidR="008315B8" w:rsidRDefault="008315B8" w:rsidP="00F6154B">
            <w:pPr>
              <w:jc w:val="center"/>
            </w:pPr>
          </w:p>
        </w:tc>
        <w:tc>
          <w:tcPr>
            <w:tcW w:w="494" w:type="dxa"/>
            <w:vAlign w:val="center"/>
          </w:tcPr>
          <w:p w14:paraId="57B04CBF" w14:textId="77777777" w:rsidR="008315B8" w:rsidRDefault="008315B8" w:rsidP="00F6154B">
            <w:pPr>
              <w:jc w:val="center"/>
            </w:pPr>
          </w:p>
        </w:tc>
        <w:tc>
          <w:tcPr>
            <w:tcW w:w="494" w:type="dxa"/>
            <w:shd w:val="clear" w:color="auto" w:fill="BFBFBF" w:themeFill="background1" w:themeFillShade="BF"/>
            <w:vAlign w:val="center"/>
          </w:tcPr>
          <w:p w14:paraId="217D1108" w14:textId="77777777" w:rsidR="008315B8" w:rsidRDefault="008315B8" w:rsidP="00F6154B">
            <w:pPr>
              <w:jc w:val="center"/>
            </w:pPr>
          </w:p>
        </w:tc>
        <w:tc>
          <w:tcPr>
            <w:tcW w:w="494" w:type="dxa"/>
            <w:vAlign w:val="center"/>
          </w:tcPr>
          <w:p w14:paraId="56032AFC" w14:textId="77777777" w:rsidR="008315B8" w:rsidRDefault="008315B8" w:rsidP="00F6154B">
            <w:pPr>
              <w:jc w:val="center"/>
            </w:pPr>
          </w:p>
        </w:tc>
        <w:tc>
          <w:tcPr>
            <w:tcW w:w="494" w:type="dxa"/>
            <w:vAlign w:val="center"/>
          </w:tcPr>
          <w:p w14:paraId="5294DF89" w14:textId="77777777" w:rsidR="008315B8" w:rsidRDefault="008315B8" w:rsidP="00F6154B">
            <w:pPr>
              <w:jc w:val="center"/>
            </w:pPr>
          </w:p>
        </w:tc>
      </w:tr>
      <w:tr w:rsidR="008315B8" w14:paraId="0B63E755" w14:textId="77777777" w:rsidTr="008315B8">
        <w:tc>
          <w:tcPr>
            <w:tcW w:w="2021" w:type="dxa"/>
            <w:vMerge/>
            <w:vAlign w:val="center"/>
          </w:tcPr>
          <w:p w14:paraId="0C0DDC64" w14:textId="77777777" w:rsidR="008315B8" w:rsidRDefault="008315B8" w:rsidP="00F6154B"/>
        </w:tc>
        <w:tc>
          <w:tcPr>
            <w:tcW w:w="2040" w:type="dxa"/>
            <w:vAlign w:val="center"/>
          </w:tcPr>
          <w:p w14:paraId="0ACC90F1" w14:textId="77777777" w:rsidR="008315B8" w:rsidRDefault="008315B8" w:rsidP="00F6154B">
            <w:r>
              <w:t>Mobilization of funds to CBSL/Treasury</w:t>
            </w:r>
          </w:p>
        </w:tc>
        <w:tc>
          <w:tcPr>
            <w:tcW w:w="1498" w:type="dxa"/>
            <w:vAlign w:val="center"/>
          </w:tcPr>
          <w:p w14:paraId="64E13242" w14:textId="77777777" w:rsidR="008315B8" w:rsidRDefault="008315B8" w:rsidP="00F6154B">
            <w:r>
              <w:t>CBSL</w:t>
            </w:r>
          </w:p>
        </w:tc>
        <w:tc>
          <w:tcPr>
            <w:tcW w:w="494" w:type="dxa"/>
            <w:vAlign w:val="center"/>
          </w:tcPr>
          <w:p w14:paraId="2E51FD79" w14:textId="77777777" w:rsidR="008315B8" w:rsidRDefault="008315B8" w:rsidP="00F6154B">
            <w:pPr>
              <w:jc w:val="center"/>
            </w:pPr>
          </w:p>
        </w:tc>
        <w:tc>
          <w:tcPr>
            <w:tcW w:w="494" w:type="dxa"/>
            <w:vAlign w:val="center"/>
          </w:tcPr>
          <w:p w14:paraId="1A75C93A" w14:textId="77777777" w:rsidR="008315B8" w:rsidRDefault="008315B8" w:rsidP="00F6154B">
            <w:pPr>
              <w:jc w:val="center"/>
            </w:pPr>
          </w:p>
        </w:tc>
        <w:tc>
          <w:tcPr>
            <w:tcW w:w="494" w:type="dxa"/>
            <w:vAlign w:val="center"/>
          </w:tcPr>
          <w:p w14:paraId="33B56760" w14:textId="77777777" w:rsidR="008315B8" w:rsidRDefault="008315B8" w:rsidP="00F6154B">
            <w:pPr>
              <w:jc w:val="center"/>
            </w:pPr>
          </w:p>
        </w:tc>
        <w:tc>
          <w:tcPr>
            <w:tcW w:w="494" w:type="dxa"/>
            <w:vAlign w:val="center"/>
          </w:tcPr>
          <w:p w14:paraId="514B9548" w14:textId="77777777" w:rsidR="008315B8" w:rsidRDefault="008315B8" w:rsidP="00F6154B">
            <w:pPr>
              <w:jc w:val="center"/>
            </w:pPr>
          </w:p>
        </w:tc>
        <w:tc>
          <w:tcPr>
            <w:tcW w:w="494" w:type="dxa"/>
            <w:shd w:val="clear" w:color="auto" w:fill="BFBFBF" w:themeFill="background1" w:themeFillShade="BF"/>
            <w:vAlign w:val="center"/>
          </w:tcPr>
          <w:p w14:paraId="5BAAC8F7" w14:textId="77777777" w:rsidR="008315B8" w:rsidRDefault="008315B8" w:rsidP="00F6154B">
            <w:pPr>
              <w:jc w:val="center"/>
            </w:pPr>
          </w:p>
        </w:tc>
        <w:tc>
          <w:tcPr>
            <w:tcW w:w="494" w:type="dxa"/>
            <w:vAlign w:val="center"/>
          </w:tcPr>
          <w:p w14:paraId="41EC9574" w14:textId="77777777" w:rsidR="008315B8" w:rsidRDefault="008315B8" w:rsidP="00F6154B">
            <w:pPr>
              <w:jc w:val="center"/>
            </w:pPr>
          </w:p>
        </w:tc>
        <w:tc>
          <w:tcPr>
            <w:tcW w:w="494" w:type="dxa"/>
            <w:vAlign w:val="center"/>
          </w:tcPr>
          <w:p w14:paraId="2C2E684C" w14:textId="77777777" w:rsidR="008315B8" w:rsidRDefault="008315B8" w:rsidP="00F6154B">
            <w:pPr>
              <w:jc w:val="center"/>
            </w:pPr>
          </w:p>
        </w:tc>
      </w:tr>
      <w:tr w:rsidR="00F274FB" w14:paraId="074E2E53" w14:textId="77777777" w:rsidTr="008315B8">
        <w:tc>
          <w:tcPr>
            <w:tcW w:w="2021" w:type="dxa"/>
            <w:vAlign w:val="center"/>
          </w:tcPr>
          <w:p w14:paraId="12AE5271" w14:textId="77777777" w:rsidR="00F274FB" w:rsidRDefault="008444F7" w:rsidP="00F6154B">
            <w:r>
              <w:t>Financing biodiversity projects</w:t>
            </w:r>
          </w:p>
        </w:tc>
        <w:tc>
          <w:tcPr>
            <w:tcW w:w="2040" w:type="dxa"/>
            <w:vAlign w:val="center"/>
          </w:tcPr>
          <w:p w14:paraId="449D731F" w14:textId="77777777" w:rsidR="00F274FB" w:rsidRDefault="008444F7" w:rsidP="00F6154B">
            <w:r>
              <w:t>Disbursement of funds from Treasury</w:t>
            </w:r>
          </w:p>
        </w:tc>
        <w:tc>
          <w:tcPr>
            <w:tcW w:w="1498" w:type="dxa"/>
            <w:vAlign w:val="center"/>
          </w:tcPr>
          <w:p w14:paraId="67563D55" w14:textId="77777777" w:rsidR="00F274FB" w:rsidRDefault="008444F7" w:rsidP="00F6154B">
            <w:r>
              <w:t>MF</w:t>
            </w:r>
          </w:p>
        </w:tc>
        <w:tc>
          <w:tcPr>
            <w:tcW w:w="494" w:type="dxa"/>
            <w:vAlign w:val="center"/>
          </w:tcPr>
          <w:p w14:paraId="727BD43F" w14:textId="77777777" w:rsidR="00F274FB" w:rsidRDefault="00F274FB" w:rsidP="00F6154B">
            <w:pPr>
              <w:jc w:val="center"/>
            </w:pPr>
          </w:p>
        </w:tc>
        <w:tc>
          <w:tcPr>
            <w:tcW w:w="494" w:type="dxa"/>
            <w:vAlign w:val="center"/>
          </w:tcPr>
          <w:p w14:paraId="138A6415" w14:textId="77777777" w:rsidR="00F274FB" w:rsidRDefault="00F274FB" w:rsidP="00F6154B">
            <w:pPr>
              <w:jc w:val="center"/>
            </w:pPr>
          </w:p>
        </w:tc>
        <w:tc>
          <w:tcPr>
            <w:tcW w:w="494" w:type="dxa"/>
            <w:vAlign w:val="center"/>
          </w:tcPr>
          <w:p w14:paraId="3F2E4262" w14:textId="77777777" w:rsidR="00F274FB" w:rsidRDefault="00F274FB" w:rsidP="00F6154B">
            <w:pPr>
              <w:jc w:val="center"/>
            </w:pPr>
          </w:p>
        </w:tc>
        <w:tc>
          <w:tcPr>
            <w:tcW w:w="494" w:type="dxa"/>
            <w:vAlign w:val="center"/>
          </w:tcPr>
          <w:p w14:paraId="6CB591C0" w14:textId="77777777" w:rsidR="00F274FB" w:rsidRDefault="00F274FB" w:rsidP="00F6154B">
            <w:pPr>
              <w:jc w:val="center"/>
            </w:pPr>
          </w:p>
        </w:tc>
        <w:tc>
          <w:tcPr>
            <w:tcW w:w="494" w:type="dxa"/>
            <w:shd w:val="clear" w:color="auto" w:fill="BFBFBF" w:themeFill="background1" w:themeFillShade="BF"/>
            <w:vAlign w:val="center"/>
          </w:tcPr>
          <w:p w14:paraId="0CA55F06" w14:textId="77777777" w:rsidR="00F274FB" w:rsidRDefault="00F274FB" w:rsidP="00F6154B">
            <w:pPr>
              <w:jc w:val="center"/>
            </w:pPr>
          </w:p>
        </w:tc>
        <w:tc>
          <w:tcPr>
            <w:tcW w:w="494" w:type="dxa"/>
            <w:shd w:val="clear" w:color="auto" w:fill="BFBFBF" w:themeFill="background1" w:themeFillShade="BF"/>
            <w:vAlign w:val="center"/>
          </w:tcPr>
          <w:p w14:paraId="3F3B2ECA" w14:textId="77777777" w:rsidR="00F274FB" w:rsidRDefault="00F274FB" w:rsidP="00F6154B">
            <w:pPr>
              <w:jc w:val="center"/>
            </w:pPr>
          </w:p>
        </w:tc>
        <w:tc>
          <w:tcPr>
            <w:tcW w:w="494" w:type="dxa"/>
            <w:vAlign w:val="center"/>
          </w:tcPr>
          <w:p w14:paraId="5C7ECB68" w14:textId="77777777" w:rsidR="00F274FB" w:rsidRDefault="00F274FB" w:rsidP="00F6154B">
            <w:pPr>
              <w:jc w:val="center"/>
            </w:pPr>
          </w:p>
        </w:tc>
      </w:tr>
      <w:tr w:rsidR="00F274FB" w14:paraId="60DB6530" w14:textId="77777777" w:rsidTr="008315B8">
        <w:tc>
          <w:tcPr>
            <w:tcW w:w="2021" w:type="dxa"/>
            <w:vAlign w:val="center"/>
          </w:tcPr>
          <w:p w14:paraId="5D53DBF3" w14:textId="77777777" w:rsidR="00F274FB" w:rsidRDefault="00F274FB" w:rsidP="00F6154B"/>
        </w:tc>
        <w:tc>
          <w:tcPr>
            <w:tcW w:w="2040" w:type="dxa"/>
            <w:vAlign w:val="center"/>
          </w:tcPr>
          <w:p w14:paraId="7529E326" w14:textId="77777777" w:rsidR="00F274FB" w:rsidRDefault="008444F7" w:rsidP="00F6154B">
            <w:r>
              <w:t>Investing in projects</w:t>
            </w:r>
          </w:p>
        </w:tc>
        <w:tc>
          <w:tcPr>
            <w:tcW w:w="1498" w:type="dxa"/>
            <w:vAlign w:val="center"/>
          </w:tcPr>
          <w:p w14:paraId="62FC1BE5" w14:textId="77777777" w:rsidR="00F274FB" w:rsidRDefault="008444F7" w:rsidP="00F6154B">
            <w:r>
              <w:t>MMDE</w:t>
            </w:r>
          </w:p>
        </w:tc>
        <w:tc>
          <w:tcPr>
            <w:tcW w:w="494" w:type="dxa"/>
            <w:vAlign w:val="center"/>
          </w:tcPr>
          <w:p w14:paraId="7CC6FA07" w14:textId="77777777" w:rsidR="00F274FB" w:rsidRDefault="00F274FB" w:rsidP="00F6154B">
            <w:pPr>
              <w:jc w:val="center"/>
            </w:pPr>
          </w:p>
        </w:tc>
        <w:tc>
          <w:tcPr>
            <w:tcW w:w="494" w:type="dxa"/>
            <w:vAlign w:val="center"/>
          </w:tcPr>
          <w:p w14:paraId="7872D693" w14:textId="77777777" w:rsidR="00F274FB" w:rsidRDefault="00F274FB" w:rsidP="00F6154B">
            <w:pPr>
              <w:jc w:val="center"/>
            </w:pPr>
          </w:p>
        </w:tc>
        <w:tc>
          <w:tcPr>
            <w:tcW w:w="494" w:type="dxa"/>
            <w:vAlign w:val="center"/>
          </w:tcPr>
          <w:p w14:paraId="689EC54E" w14:textId="77777777" w:rsidR="00F274FB" w:rsidRDefault="00F274FB" w:rsidP="00F6154B">
            <w:pPr>
              <w:jc w:val="center"/>
            </w:pPr>
          </w:p>
        </w:tc>
        <w:tc>
          <w:tcPr>
            <w:tcW w:w="494" w:type="dxa"/>
            <w:vAlign w:val="center"/>
          </w:tcPr>
          <w:p w14:paraId="2E041D93" w14:textId="77777777" w:rsidR="00F274FB" w:rsidRDefault="00F274FB" w:rsidP="00F6154B">
            <w:pPr>
              <w:jc w:val="center"/>
            </w:pPr>
          </w:p>
        </w:tc>
        <w:tc>
          <w:tcPr>
            <w:tcW w:w="494" w:type="dxa"/>
            <w:shd w:val="clear" w:color="auto" w:fill="BFBFBF" w:themeFill="background1" w:themeFillShade="BF"/>
            <w:vAlign w:val="center"/>
          </w:tcPr>
          <w:p w14:paraId="6EEF5AE1" w14:textId="77777777" w:rsidR="00F274FB" w:rsidRDefault="00F274FB" w:rsidP="00F6154B">
            <w:pPr>
              <w:jc w:val="center"/>
            </w:pPr>
          </w:p>
        </w:tc>
        <w:tc>
          <w:tcPr>
            <w:tcW w:w="494" w:type="dxa"/>
            <w:shd w:val="clear" w:color="auto" w:fill="BFBFBF" w:themeFill="background1" w:themeFillShade="BF"/>
            <w:vAlign w:val="center"/>
          </w:tcPr>
          <w:p w14:paraId="6F7E58B4" w14:textId="77777777" w:rsidR="00F274FB" w:rsidRDefault="00F274FB" w:rsidP="00F6154B">
            <w:pPr>
              <w:jc w:val="center"/>
            </w:pPr>
          </w:p>
        </w:tc>
        <w:tc>
          <w:tcPr>
            <w:tcW w:w="494" w:type="dxa"/>
            <w:vAlign w:val="center"/>
          </w:tcPr>
          <w:p w14:paraId="5D1DF20B" w14:textId="77777777" w:rsidR="00F274FB" w:rsidRDefault="00F274FB" w:rsidP="00F6154B">
            <w:pPr>
              <w:jc w:val="center"/>
            </w:pPr>
          </w:p>
        </w:tc>
      </w:tr>
      <w:tr w:rsidR="00F274FB" w14:paraId="5C7390F5" w14:textId="77777777" w:rsidTr="008315B8">
        <w:tc>
          <w:tcPr>
            <w:tcW w:w="2021" w:type="dxa"/>
            <w:vAlign w:val="center"/>
          </w:tcPr>
          <w:p w14:paraId="5BC5D06E" w14:textId="77777777" w:rsidR="00F274FB" w:rsidRDefault="00F274FB" w:rsidP="00F6154B"/>
        </w:tc>
        <w:tc>
          <w:tcPr>
            <w:tcW w:w="2040" w:type="dxa"/>
            <w:vAlign w:val="center"/>
          </w:tcPr>
          <w:p w14:paraId="4ED9FEAD" w14:textId="77777777" w:rsidR="00F274FB" w:rsidRDefault="008444F7" w:rsidP="00F6154B">
            <w:r>
              <w:t>Monitoring and evaluation</w:t>
            </w:r>
          </w:p>
        </w:tc>
        <w:tc>
          <w:tcPr>
            <w:tcW w:w="1498" w:type="dxa"/>
            <w:vAlign w:val="center"/>
          </w:tcPr>
          <w:p w14:paraId="1C0C1036" w14:textId="77777777" w:rsidR="00F274FB" w:rsidRDefault="008444F7" w:rsidP="00F6154B">
            <w:r>
              <w:t>MMDE</w:t>
            </w:r>
          </w:p>
          <w:p w14:paraId="15D6A789" w14:textId="77777777" w:rsidR="008444F7" w:rsidRDefault="008444F7" w:rsidP="00F6154B">
            <w:r>
              <w:t>Audits</w:t>
            </w:r>
          </w:p>
        </w:tc>
        <w:tc>
          <w:tcPr>
            <w:tcW w:w="494" w:type="dxa"/>
            <w:vAlign w:val="center"/>
          </w:tcPr>
          <w:p w14:paraId="66E5E3EC" w14:textId="77777777" w:rsidR="00F274FB" w:rsidRDefault="00F274FB" w:rsidP="00F6154B">
            <w:pPr>
              <w:jc w:val="center"/>
            </w:pPr>
          </w:p>
        </w:tc>
        <w:tc>
          <w:tcPr>
            <w:tcW w:w="494" w:type="dxa"/>
            <w:vAlign w:val="center"/>
          </w:tcPr>
          <w:p w14:paraId="1C65B492" w14:textId="77777777" w:rsidR="00F274FB" w:rsidRDefault="00F274FB" w:rsidP="00F6154B">
            <w:pPr>
              <w:jc w:val="center"/>
            </w:pPr>
          </w:p>
        </w:tc>
        <w:tc>
          <w:tcPr>
            <w:tcW w:w="494" w:type="dxa"/>
            <w:vAlign w:val="center"/>
          </w:tcPr>
          <w:p w14:paraId="04CD04BB" w14:textId="77777777" w:rsidR="00F274FB" w:rsidRDefault="00F274FB" w:rsidP="00F6154B">
            <w:pPr>
              <w:jc w:val="center"/>
            </w:pPr>
          </w:p>
        </w:tc>
        <w:tc>
          <w:tcPr>
            <w:tcW w:w="494" w:type="dxa"/>
            <w:vAlign w:val="center"/>
          </w:tcPr>
          <w:p w14:paraId="483B3C8B" w14:textId="77777777" w:rsidR="00F274FB" w:rsidRDefault="00F274FB" w:rsidP="00F6154B">
            <w:pPr>
              <w:jc w:val="center"/>
            </w:pPr>
          </w:p>
        </w:tc>
        <w:tc>
          <w:tcPr>
            <w:tcW w:w="494" w:type="dxa"/>
            <w:shd w:val="clear" w:color="auto" w:fill="BFBFBF" w:themeFill="background1" w:themeFillShade="BF"/>
            <w:vAlign w:val="center"/>
          </w:tcPr>
          <w:p w14:paraId="238E8CB2" w14:textId="77777777" w:rsidR="00F274FB" w:rsidRDefault="00F274FB" w:rsidP="00F6154B">
            <w:pPr>
              <w:jc w:val="center"/>
            </w:pPr>
          </w:p>
        </w:tc>
        <w:tc>
          <w:tcPr>
            <w:tcW w:w="494" w:type="dxa"/>
            <w:shd w:val="clear" w:color="auto" w:fill="BFBFBF" w:themeFill="background1" w:themeFillShade="BF"/>
            <w:vAlign w:val="center"/>
          </w:tcPr>
          <w:p w14:paraId="2EB8473B" w14:textId="77777777" w:rsidR="00F274FB" w:rsidRDefault="00F274FB" w:rsidP="00F6154B">
            <w:pPr>
              <w:jc w:val="center"/>
            </w:pPr>
          </w:p>
        </w:tc>
        <w:tc>
          <w:tcPr>
            <w:tcW w:w="494" w:type="dxa"/>
            <w:shd w:val="clear" w:color="auto" w:fill="BFBFBF" w:themeFill="background1" w:themeFillShade="BF"/>
            <w:vAlign w:val="center"/>
          </w:tcPr>
          <w:p w14:paraId="6E916F9B" w14:textId="77777777" w:rsidR="00F274FB" w:rsidRDefault="00F274FB" w:rsidP="00F6154B">
            <w:pPr>
              <w:jc w:val="center"/>
            </w:pPr>
          </w:p>
        </w:tc>
      </w:tr>
      <w:tr w:rsidR="00D95B36" w14:paraId="37F32A61" w14:textId="77777777" w:rsidTr="00AB20CA">
        <w:tc>
          <w:tcPr>
            <w:tcW w:w="2021" w:type="dxa"/>
            <w:vAlign w:val="center"/>
          </w:tcPr>
          <w:p w14:paraId="588CE663" w14:textId="77777777" w:rsidR="00D95B36" w:rsidRDefault="00D95B36" w:rsidP="00F6154B">
            <w:r>
              <w:t>Budget</w:t>
            </w:r>
          </w:p>
        </w:tc>
        <w:tc>
          <w:tcPr>
            <w:tcW w:w="6996" w:type="dxa"/>
            <w:gridSpan w:val="9"/>
            <w:vAlign w:val="center"/>
          </w:tcPr>
          <w:p w14:paraId="306F4692" w14:textId="77777777" w:rsidR="00D95B36" w:rsidRDefault="00D95B36" w:rsidP="00D95B36">
            <w:r>
              <w:t>US$ 120,000</w:t>
            </w:r>
          </w:p>
        </w:tc>
      </w:tr>
      <w:tr w:rsidR="00D95B36" w14:paraId="6546140C" w14:textId="77777777" w:rsidTr="00AB20CA">
        <w:tc>
          <w:tcPr>
            <w:tcW w:w="2021" w:type="dxa"/>
            <w:vAlign w:val="center"/>
          </w:tcPr>
          <w:p w14:paraId="06AD8ED4" w14:textId="77777777" w:rsidR="00D95B36" w:rsidRDefault="00D74398" w:rsidP="00F6154B">
            <w:r>
              <w:t>Financial</w:t>
            </w:r>
            <w:r w:rsidR="00D95B36">
              <w:t xml:space="preserve"> result</w:t>
            </w:r>
          </w:p>
        </w:tc>
        <w:tc>
          <w:tcPr>
            <w:tcW w:w="6996" w:type="dxa"/>
            <w:gridSpan w:val="9"/>
            <w:vAlign w:val="center"/>
          </w:tcPr>
          <w:p w14:paraId="4B4D0859" w14:textId="77777777" w:rsidR="00D95B36" w:rsidRDefault="00D74398" w:rsidP="00D95B36">
            <w:r>
              <w:t xml:space="preserve">US$ 100 million </w:t>
            </w:r>
          </w:p>
        </w:tc>
      </w:tr>
      <w:tr w:rsidR="00D95B36" w14:paraId="5A4CD94E" w14:textId="77777777" w:rsidTr="00AB20CA">
        <w:tc>
          <w:tcPr>
            <w:tcW w:w="2021" w:type="dxa"/>
            <w:vAlign w:val="center"/>
          </w:tcPr>
          <w:p w14:paraId="4C7C08C5" w14:textId="77777777" w:rsidR="00D95B36" w:rsidRDefault="00D95B36" w:rsidP="00F6154B">
            <w:r>
              <w:t>Note</w:t>
            </w:r>
          </w:p>
        </w:tc>
        <w:tc>
          <w:tcPr>
            <w:tcW w:w="6996" w:type="dxa"/>
            <w:gridSpan w:val="9"/>
            <w:vAlign w:val="center"/>
          </w:tcPr>
          <w:p w14:paraId="4D69436F" w14:textId="77777777" w:rsidR="00D95B36" w:rsidRDefault="00D74398" w:rsidP="00D95B36">
            <w:r>
              <w:t>Lead Managers from among W</w:t>
            </w:r>
            <w:r w:rsidR="00F879C5">
              <w:t xml:space="preserve">orld </w:t>
            </w:r>
            <w:r>
              <w:t>B</w:t>
            </w:r>
            <w:r w:rsidR="00F879C5">
              <w:t>ank</w:t>
            </w:r>
            <w:r>
              <w:t>, ADB, IFC</w:t>
            </w:r>
          </w:p>
        </w:tc>
      </w:tr>
    </w:tbl>
    <w:p w14:paraId="51397953" w14:textId="77777777" w:rsidR="00B1304B" w:rsidRDefault="00B1304B" w:rsidP="00BB5D98">
      <w:pPr>
        <w:jc w:val="both"/>
      </w:pPr>
    </w:p>
    <w:p w14:paraId="30B5DC0C" w14:textId="77777777" w:rsidR="000B7821" w:rsidRDefault="000B7821" w:rsidP="00BB5D98">
      <w:pPr>
        <w:jc w:val="both"/>
      </w:pPr>
    </w:p>
    <w:p w14:paraId="4BC7963E" w14:textId="77777777" w:rsidR="006061F6" w:rsidRPr="00A212BE" w:rsidRDefault="006061F6" w:rsidP="008D23E4">
      <w:pPr>
        <w:pStyle w:val="Heading4"/>
      </w:pPr>
      <w:r w:rsidRPr="00A212BE">
        <w:t xml:space="preserve">8. </w:t>
      </w:r>
      <w:bookmarkStart w:id="20" w:name="_Hlk1472185"/>
      <w:r w:rsidRPr="00A212BE">
        <w:t>Eco</w:t>
      </w:r>
      <w:r w:rsidR="00C4009E" w:rsidRPr="00A212BE">
        <w:t>-</w:t>
      </w:r>
      <w:r w:rsidRPr="00A212BE">
        <w:t xml:space="preserve">tourism: </w:t>
      </w:r>
      <w:r w:rsidR="0097579B" w:rsidRPr="00A212BE">
        <w:t>Promoting ecotourism practices in the small-scale accommodation sector</w:t>
      </w:r>
    </w:p>
    <w:p w14:paraId="42DBB937" w14:textId="49A747BB" w:rsidR="00875746" w:rsidRDefault="0097579B" w:rsidP="00BB5D98">
      <w:pPr>
        <w:jc w:val="both"/>
      </w:pPr>
      <w:r>
        <w:t xml:space="preserve">The finance solution is to promote </w:t>
      </w:r>
      <w:r w:rsidRPr="0097579B">
        <w:t>sustainable practices for conservation and use of biodiversity as an integral component of “nature-based” tourism in the small-scale accommodation sector.</w:t>
      </w:r>
    </w:p>
    <w:p w14:paraId="025D5404" w14:textId="77777777" w:rsidR="00B82BD5" w:rsidRDefault="00B82BD5" w:rsidP="00BB5D98">
      <w:pPr>
        <w:jc w:val="both"/>
      </w:pPr>
      <w:r>
        <w:t>Objective</w:t>
      </w:r>
    </w:p>
    <w:p w14:paraId="516CD98B" w14:textId="77777777" w:rsidR="00B82BD5" w:rsidRDefault="00B82BD5" w:rsidP="00BB5D98">
      <w:pPr>
        <w:jc w:val="both"/>
      </w:pPr>
      <w:r>
        <w:t>To promote “nature-based” tourism services with emphasis on conservation and sustainable use of biodiversity and ecosystems.</w:t>
      </w:r>
    </w:p>
    <w:p w14:paraId="57E29D43" w14:textId="77777777" w:rsidR="00875746" w:rsidRDefault="0097579B" w:rsidP="00BB5D98">
      <w:pPr>
        <w:jc w:val="both"/>
      </w:pPr>
      <w:r>
        <w:t>Description</w:t>
      </w:r>
    </w:p>
    <w:p w14:paraId="40546D74" w14:textId="09396B66" w:rsidR="00B90C30" w:rsidRDefault="004171B6" w:rsidP="004171B6">
      <w:pPr>
        <w:jc w:val="both"/>
      </w:pPr>
      <w:r>
        <w:t xml:space="preserve">Given the rapid increase in tourist arrivals and the increasing tourist demand for small-scale accommodation in Sri Lanka, the proposed finance solution is </w:t>
      </w:r>
      <w:r w:rsidR="000F1BB2">
        <w:t xml:space="preserve">aimed at promoting </w:t>
      </w:r>
      <w:r>
        <w:t xml:space="preserve">ecotourism practices within the small-scale accommodation sector. </w:t>
      </w:r>
      <w:r w:rsidR="004D1C17">
        <w:t>Tourism demand for accommodation has increased three-fold from about 9 million guest nights in 2010 to 27 million in 2017. This trend has also been accompanied by an increased demand for accommodation in unclassified and supplementary establishments</w:t>
      </w:r>
      <w:r w:rsidR="007D063D">
        <w:t>.</w:t>
      </w:r>
      <w:r w:rsidR="004D1C17">
        <w:t xml:space="preserve"> </w:t>
      </w:r>
      <w:r w:rsidR="007D063D">
        <w:t>Unclassified hotels include boutique hotels and villas, while supplementary establishments include guest houses, bungalows, private homes and apartments; they all belong to small category. Evidence suggests that demand for “homestays” - tourist accommodation at refurbished rooms and annexes of private houses at cheaper prices ha</w:t>
      </w:r>
      <w:r w:rsidR="000D7022">
        <w:t>s</w:t>
      </w:r>
      <w:r w:rsidR="007D063D">
        <w:t xml:space="preserve"> been on the rise.</w:t>
      </w:r>
      <w:r w:rsidR="008A67F4">
        <w:t xml:space="preserve"> Out of the total tourist guest nights, demand for unclassified hotels and supplementary establishments increased from 37 percent in 2010 to nearly 50 percent in 2017 with a corresponding decline in the share of demand for classified hotels.</w:t>
      </w:r>
    </w:p>
    <w:p w14:paraId="4D3922B4" w14:textId="1C390247" w:rsidR="004D1C17" w:rsidRDefault="004D1C17" w:rsidP="004171B6">
      <w:pPr>
        <w:jc w:val="both"/>
      </w:pPr>
      <w:r>
        <w:rPr>
          <w:noProof/>
          <w:lang w:val="en-AU" w:eastAsia="en-AU" w:bidi="si-LK"/>
        </w:rPr>
        <w:drawing>
          <wp:inline distT="0" distB="0" distL="0" distR="0" wp14:anchorId="52192D5E" wp14:editId="19C18357">
            <wp:extent cx="37338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9A84DC" w14:textId="7EEFEADC" w:rsidR="0073571A" w:rsidRDefault="007454F6" w:rsidP="004171B6">
      <w:pPr>
        <w:jc w:val="both"/>
      </w:pPr>
      <w:r>
        <w:t xml:space="preserve">The common issues </w:t>
      </w:r>
      <w:r w:rsidR="00114764">
        <w:t xml:space="preserve">of </w:t>
      </w:r>
      <w:r w:rsidR="00C21FA0">
        <w:t xml:space="preserve">increased demand for small-scale accommodation sector and for homestays </w:t>
      </w:r>
      <w:r>
        <w:t xml:space="preserve">are identified as </w:t>
      </w:r>
      <w:r w:rsidR="00C21FA0">
        <w:t xml:space="preserve">resulting from </w:t>
      </w:r>
      <w:r>
        <w:t>over-visitation, over-production and, over-consumption, all affecting the</w:t>
      </w:r>
      <w:r w:rsidR="00BF76B3" w:rsidRPr="00BF76B3">
        <w:t xml:space="preserve"> sustainability of the biodiversity</w:t>
      </w:r>
      <w:r>
        <w:t xml:space="preserve"> </w:t>
      </w:r>
      <w:r w:rsidR="00BF76B3">
        <w:t>and ecosystem services</w:t>
      </w:r>
      <w:r w:rsidR="00AD45A5">
        <w:t xml:space="preserve"> in the vicinity</w:t>
      </w:r>
      <w:r w:rsidR="00BF76B3">
        <w:t xml:space="preserve">. </w:t>
      </w:r>
      <w:r w:rsidR="004171B6">
        <w:t xml:space="preserve">It </w:t>
      </w:r>
      <w:r w:rsidR="00AD45A5">
        <w:t xml:space="preserve">demands for the application of </w:t>
      </w:r>
      <w:r w:rsidR="00F63D6F">
        <w:t xml:space="preserve">nature-based </w:t>
      </w:r>
      <w:r w:rsidR="00AD45A5">
        <w:t>tourism pr</w:t>
      </w:r>
      <w:r w:rsidR="004171B6">
        <w:t xml:space="preserve">actices </w:t>
      </w:r>
      <w:r w:rsidR="00F63D6F">
        <w:t xml:space="preserve">which would </w:t>
      </w:r>
      <w:proofErr w:type="gramStart"/>
      <w:r w:rsidR="00114764">
        <w:t>enhanced</w:t>
      </w:r>
      <w:proofErr w:type="gramEnd"/>
      <w:r w:rsidR="00114764">
        <w:t xml:space="preserve"> </w:t>
      </w:r>
      <w:r w:rsidR="00426CE2">
        <w:t xml:space="preserve">growing demand for such tourism products on the one hand and, </w:t>
      </w:r>
      <w:r w:rsidR="00114764">
        <w:t>counteract the above issues on the other hand.</w:t>
      </w:r>
      <w:r w:rsidR="00426CE2">
        <w:t xml:space="preserve"> Nature-based tourism practices</w:t>
      </w:r>
      <w:r w:rsidR="00114764">
        <w:t xml:space="preserve"> </w:t>
      </w:r>
      <w:r w:rsidR="00F63D6F">
        <w:t xml:space="preserve">not only make use of the biodiversity and ecosystems in the tourism sector, but also promote </w:t>
      </w:r>
      <w:r w:rsidR="00AD45A5">
        <w:t xml:space="preserve">biodiversity </w:t>
      </w:r>
      <w:r w:rsidR="004171B6">
        <w:t xml:space="preserve">within the vicinity of the </w:t>
      </w:r>
      <w:r w:rsidR="00F63D6F">
        <w:t>a</w:t>
      </w:r>
      <w:r w:rsidR="00AD45A5">
        <w:t>ccommodation units</w:t>
      </w:r>
      <w:r w:rsidR="004171B6">
        <w:t>.</w:t>
      </w:r>
      <w:r w:rsidR="00B05555">
        <w:t xml:space="preserve"> </w:t>
      </w:r>
    </w:p>
    <w:p w14:paraId="2BB7F62C" w14:textId="55430208" w:rsidR="004171B6" w:rsidRDefault="00B05555" w:rsidP="004171B6">
      <w:pPr>
        <w:jc w:val="both"/>
      </w:pPr>
      <w:r>
        <w:t xml:space="preserve">Eco-tourism norms </w:t>
      </w:r>
      <w:r w:rsidR="0073571A">
        <w:t xml:space="preserve">incorporate </w:t>
      </w:r>
      <w:r w:rsidRPr="00B05555">
        <w:t>natural area focus, interpretation, environmental sustainability, contribution to conservation, benefit</w:t>
      </w:r>
      <w:r>
        <w:t>s to</w:t>
      </w:r>
      <w:r w:rsidRPr="00B05555">
        <w:t xml:space="preserve"> local communities, cultural respect, customer satisfaction and responsible marketing.</w:t>
      </w:r>
      <w:r w:rsidR="0073571A">
        <w:t xml:space="preserve"> However, the individual attempts by many of the accommodation service providers in Sri Lanka appear to have used the term “eco-tourism” in an </w:t>
      </w:r>
      <w:r w:rsidR="0073571A" w:rsidRPr="0073571A">
        <w:rPr>
          <w:i/>
        </w:rPr>
        <w:t>ad hoc</w:t>
      </w:r>
      <w:r w:rsidR="0073571A">
        <w:t xml:space="preserve"> manner without an understanding of its norms and standards.</w:t>
      </w:r>
    </w:p>
    <w:p w14:paraId="123A1972" w14:textId="558917C2" w:rsidR="00691688" w:rsidRDefault="00BA2815" w:rsidP="00691688">
      <w:pPr>
        <w:jc w:val="both"/>
      </w:pPr>
      <w:r>
        <w:t xml:space="preserve">As Sri Lanka is expecting a rapid expansion of its tourism industry with fast-growing tourist arrivals, there is a policy need for balancing the quantitative growth with its qualitative dimensions. </w:t>
      </w:r>
      <w:r w:rsidR="00691688">
        <w:t xml:space="preserve">In contrast to mass tourism, ecotourism </w:t>
      </w:r>
      <w:r>
        <w:t>is</w:t>
      </w:r>
      <w:r w:rsidR="00691688">
        <w:t xml:space="preserve"> intended to support </w:t>
      </w:r>
      <w:r>
        <w:t xml:space="preserve">this need with a focus on </w:t>
      </w:r>
      <w:r w:rsidR="00691688">
        <w:t xml:space="preserve">conservation efforts </w:t>
      </w:r>
      <w:r>
        <w:t xml:space="preserve">and people, </w:t>
      </w:r>
      <w:r w:rsidR="00691688">
        <w:t xml:space="preserve">while observing diversity causing less impact on them.  </w:t>
      </w:r>
      <w:r>
        <w:t>It is expected to conserve biodiversity</w:t>
      </w:r>
      <w:r w:rsidR="00A825DF">
        <w:t xml:space="preserve"> and to mitigate </w:t>
      </w:r>
      <w:r w:rsidR="00691688">
        <w:t>negative impact</w:t>
      </w:r>
      <w:r w:rsidR="00A825DF">
        <w:t xml:space="preserve"> on it resulting from </w:t>
      </w:r>
      <w:r w:rsidR="00691688">
        <w:t>habitat alteration</w:t>
      </w:r>
      <w:r w:rsidR="00A825DF">
        <w:t>, over-exploitation of natural environment</w:t>
      </w:r>
      <w:r w:rsidR="00691688">
        <w:t xml:space="preserve"> and</w:t>
      </w:r>
      <w:r w:rsidR="00A825DF">
        <w:t>, even</w:t>
      </w:r>
      <w:r w:rsidR="00691688">
        <w:t xml:space="preserve"> destruction.</w:t>
      </w:r>
    </w:p>
    <w:p w14:paraId="4D785BFA" w14:textId="3413AD3F" w:rsidR="00470DAA" w:rsidRDefault="00470DAA" w:rsidP="00470DAA">
      <w:pPr>
        <w:jc w:val="both"/>
      </w:pPr>
      <w:r>
        <w:t>The proposed finance solution is to promote eco-tourism practices in the small-scale accommodation sector which would eventually enhance positive effects on biodiversity</w:t>
      </w:r>
      <w:r w:rsidR="000D7022">
        <w:t>, aiming for an overall net positive biodiversity impact</w:t>
      </w:r>
      <w:r>
        <w:t xml:space="preserve">. The proposal is consistent with growing concern on sustainability issues of development as well as the emphasis of the national policy documents placed on sustainable tourism. </w:t>
      </w:r>
    </w:p>
    <w:p w14:paraId="1D6D5EFD" w14:textId="4DDFCD20" w:rsidR="00470DAA" w:rsidRDefault="00470DAA" w:rsidP="00470DAA">
      <w:pPr>
        <w:jc w:val="both"/>
      </w:pPr>
      <w:r>
        <w:t xml:space="preserve">In the application of the finance solution, the small-scale accommodation sector was chosen, for multiple reasons: While the sector has been expanding fast in response to the growing low-cost tourism demand, the sector appears to have a lack of knowledge and application of ecotourism practices. For the same reason, the potential income generation </w:t>
      </w:r>
      <w:r w:rsidR="0093473C">
        <w:t>capacity remains</w:t>
      </w:r>
      <w:r>
        <w:t xml:space="preserve"> intact, while the negative impact on biodiversity within the vicinity remains ignored.  In addition, ecotourism is expected to generate an additional income and employment opportunities for the communities, especially the youth and women.</w:t>
      </w:r>
    </w:p>
    <w:p w14:paraId="4D1FE176" w14:textId="77777777" w:rsidR="00470DAA" w:rsidRDefault="00470DAA" w:rsidP="00470DAA">
      <w:pPr>
        <w:jc w:val="both"/>
      </w:pPr>
      <w:r>
        <w:t>Business case</w:t>
      </w:r>
    </w:p>
    <w:p w14:paraId="5B194555" w14:textId="77777777" w:rsidR="00470DAA" w:rsidRDefault="00470DAA" w:rsidP="00470DAA">
      <w:pPr>
        <w:jc w:val="both"/>
      </w:pPr>
      <w:r>
        <w:t>The finance solution is consistent with the government’s policy priorities over promoting eco-tourism as outlined in the Sri Lanka Tourism Strategic Plan 2017-2020. It is envisaged to be an attractive proposal to the expanding small-scale tourism accommodation sector which would be lacking the knowledge and skills over eco-tourism practices. The lack of eco-tourism norms and standards is harmful not only to the long-term sustainability of the industry, but also to the environment and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tblGrid>
      <w:tr w:rsidR="00015FFC" w14:paraId="75472688" w14:textId="77777777" w:rsidTr="00796528">
        <w:tc>
          <w:tcPr>
            <w:tcW w:w="6306" w:type="dxa"/>
          </w:tcPr>
          <w:p w14:paraId="68789709" w14:textId="1B3DE69D" w:rsidR="00015FFC" w:rsidRDefault="00863EE1" w:rsidP="00015FFC">
            <w:pPr>
              <w:jc w:val="center"/>
            </w:pPr>
            <w:r>
              <w:t>Wildlife</w:t>
            </w:r>
            <w:r w:rsidR="00015FFC">
              <w:t xml:space="preserve"> under Pressure </w:t>
            </w:r>
          </w:p>
        </w:tc>
      </w:tr>
      <w:tr w:rsidR="00015FFC" w14:paraId="60982536" w14:textId="77777777" w:rsidTr="00796528">
        <w:tc>
          <w:tcPr>
            <w:tcW w:w="6306" w:type="dxa"/>
          </w:tcPr>
          <w:p w14:paraId="459E2FAF" w14:textId="61C68998" w:rsidR="00015FFC" w:rsidRDefault="00015FFC" w:rsidP="004171B6">
            <w:pPr>
              <w:jc w:val="both"/>
            </w:pPr>
            <w:r w:rsidRPr="00015FFC">
              <w:rPr>
                <w:noProof/>
                <w:lang w:val="en-AU" w:eastAsia="en-AU"/>
              </w:rPr>
              <w:drawing>
                <wp:inline distT="0" distB="0" distL="0" distR="0" wp14:anchorId="06152EA3" wp14:editId="538CD433">
                  <wp:extent cx="3244850" cy="2098733"/>
                  <wp:effectExtent l="0" t="0" r="0" b="0"/>
                  <wp:docPr id="9" name="Picture 9" descr="C:\Users\USER\Pictures\image_1510287555-8c9c72427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_1510287555-8c9c724272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3113" cy="2136417"/>
                          </a:xfrm>
                          <a:prstGeom prst="rect">
                            <a:avLst/>
                          </a:prstGeom>
                          <a:noFill/>
                          <a:ln>
                            <a:noFill/>
                          </a:ln>
                        </pic:spPr>
                      </pic:pic>
                    </a:graphicData>
                  </a:graphic>
                </wp:inline>
              </w:drawing>
            </w:r>
          </w:p>
        </w:tc>
      </w:tr>
      <w:tr w:rsidR="00015FFC" w14:paraId="585659D9" w14:textId="77777777" w:rsidTr="00796528">
        <w:trPr>
          <w:trHeight w:val="648"/>
        </w:trPr>
        <w:tc>
          <w:tcPr>
            <w:tcW w:w="6306" w:type="dxa"/>
            <w:vAlign w:val="center"/>
          </w:tcPr>
          <w:p w14:paraId="22DA4169" w14:textId="77777777" w:rsidR="00235B87" w:rsidRDefault="00015FFC" w:rsidP="00426CE2">
            <w:r>
              <w:t xml:space="preserve">Overcrowding at </w:t>
            </w:r>
            <w:proofErr w:type="spellStart"/>
            <w:r>
              <w:t>Yala</w:t>
            </w:r>
            <w:proofErr w:type="spellEnd"/>
            <w:r>
              <w:t xml:space="preserve"> National Park in 2017</w:t>
            </w:r>
          </w:p>
          <w:p w14:paraId="47D88440" w14:textId="2A0C2F2A" w:rsidR="00015FFC" w:rsidRDefault="00015FFC" w:rsidP="00426CE2">
            <w:r>
              <w:t xml:space="preserve">Source: </w:t>
            </w:r>
            <w:r w:rsidRPr="00015FFC">
              <w:rPr>
                <w:i/>
              </w:rPr>
              <w:t>Daily Mirror</w:t>
            </w:r>
            <w:r>
              <w:t>, 10 November 2017</w:t>
            </w:r>
          </w:p>
        </w:tc>
      </w:tr>
    </w:tbl>
    <w:p w14:paraId="2EE47C44" w14:textId="77777777" w:rsidR="00015FFC" w:rsidRDefault="00015FFC" w:rsidP="004171B6">
      <w:pPr>
        <w:jc w:val="both"/>
      </w:pPr>
    </w:p>
    <w:p w14:paraId="2212D276" w14:textId="4720C658" w:rsidR="00A3657A" w:rsidRDefault="00A3657A" w:rsidP="004171B6">
      <w:pPr>
        <w:jc w:val="both"/>
      </w:pPr>
      <w:r>
        <w:t>The adoption of norms and standards of eco-tourism is expected to enhance the market competitiveness and business performance of the small-scale tourism sector, thereby promoting the long-term sustainability of the industry. Furthermore, the enhancement of the eco-tourism norms and standards is envisaged promoting employability, professionalism and incomes of the communities involved in eco-tourism industry. The knowledge-spillover effects of the activity are expected to bring about long-term positive effects on biodiversity of the country.</w:t>
      </w:r>
    </w:p>
    <w:p w14:paraId="3C03AD5D" w14:textId="77777777" w:rsidR="00523A70" w:rsidRPr="00D123AB" w:rsidRDefault="00F4510F" w:rsidP="00BB5D98">
      <w:pPr>
        <w:jc w:val="both"/>
      </w:pPr>
      <w:r w:rsidRPr="00D123AB">
        <w:t>Responsibility</w:t>
      </w:r>
    </w:p>
    <w:p w14:paraId="741EA46B" w14:textId="77777777" w:rsidR="00F4510F" w:rsidRDefault="00F4510F" w:rsidP="00BB5D98">
      <w:pPr>
        <w:jc w:val="both"/>
      </w:pPr>
      <w:r>
        <w:t xml:space="preserve">On behalf of the government, the responsibility is with the Sri Lanka Tourism Development Authority (SLTDA) which </w:t>
      </w:r>
      <w:r w:rsidR="00EA22EB">
        <w:t xml:space="preserve">would initiate and implement the finance solution </w:t>
      </w:r>
      <w:r>
        <w:t xml:space="preserve">together with </w:t>
      </w:r>
      <w:r w:rsidR="00EA22EB">
        <w:t>Provincial Tourism authorities. The necessary technical and financial assistance at the initial stages will be provided by the UNDP.</w:t>
      </w:r>
    </w:p>
    <w:p w14:paraId="07AF8FFC" w14:textId="528B01ED" w:rsidR="005612C3" w:rsidRDefault="005612C3" w:rsidP="00BB5D98">
      <w:pPr>
        <w:jc w:val="both"/>
      </w:pPr>
      <w:r>
        <w:t>Financial result</w:t>
      </w:r>
    </w:p>
    <w:p w14:paraId="1871187E" w14:textId="7D0A5C78" w:rsidR="009B613B" w:rsidRDefault="009B613B" w:rsidP="009B613B">
      <w:pPr>
        <w:jc w:val="both"/>
      </w:pPr>
      <w:r>
        <w:t>According to the Tourism Industry Report (2018, Q2), out of 2164 registered accommodation establishments, over 90 percent fall under the category of “ungraded” units</w:t>
      </w:r>
      <w:r w:rsidR="0067448E">
        <w:t xml:space="preserve"> categorized as unclassified hotels, boutique hotels and villas</w:t>
      </w:r>
      <w:r w:rsidR="00D123AB">
        <w:t>, guest houses, bungalows</w:t>
      </w:r>
      <w:r w:rsidR="000007F2">
        <w:t>, homestay units</w:t>
      </w:r>
      <w:r w:rsidR="00D123AB">
        <w:t xml:space="preserve"> and, other</w:t>
      </w:r>
      <w:r>
        <w:t>. They are also “small-scale</w:t>
      </w:r>
      <w:proofErr w:type="gramStart"/>
      <w:r>
        <w:t>”, but</w:t>
      </w:r>
      <w:proofErr w:type="gramEnd"/>
      <w:r>
        <w:t xml:space="preserve"> provide accommodation to about one-third of tourists arriving in Sri Lanka. SLTDA has granted approval for 326 new accommodation projects with nearly US$ </w:t>
      </w:r>
      <w:r w:rsidR="00683A9E" w:rsidRPr="00683A9E">
        <w:t>2,895</w:t>
      </w:r>
      <w:r w:rsidR="00683A9E">
        <w:t xml:space="preserve"> million</w:t>
      </w:r>
      <w:r>
        <w:t xml:space="preserve"> investment by June 2018, while 68 percent of these are with less than 49 guest rooms.</w:t>
      </w:r>
      <w:r w:rsidR="00683A9E">
        <w:t xml:space="preserve"> Average investment per project is US$ 0.9 million (or US$ 900,000) which can be considered much less than the average investment in the large-scale tourism accommodation unit.</w:t>
      </w:r>
    </w:p>
    <w:p w14:paraId="132DF477" w14:textId="3AF5996E" w:rsidR="009536B3" w:rsidRDefault="009B613B" w:rsidP="009B613B">
      <w:pPr>
        <w:jc w:val="both"/>
      </w:pPr>
      <w:r>
        <w:t xml:space="preserve">This description shows the importance of the target group of small-scale tourism accommodation sector, which is expanding along with rapidly growing tourism industry. </w:t>
      </w:r>
      <w:r w:rsidR="00860E25">
        <w:t>A possible scenario suggests</w:t>
      </w:r>
      <w:r>
        <w:t xml:space="preserve"> that a minimum 10 percent of small-scale accommodation units will </w:t>
      </w:r>
      <w:r w:rsidR="00860E25">
        <w:t xml:space="preserve">chose to adopt relevant norms and standards of the eco-tourism category with an increase in the investment cost by 10 percent. It is reasonably envisaged that a potential scenario as such would generate additional investment of US$ 29 million. </w:t>
      </w:r>
      <w:r w:rsidR="002F0B12">
        <w:t>This additional investment is the cost of promoting nature-based tourism practices by adopting eco-tourism norms and standards.</w:t>
      </w:r>
      <w:r w:rsidR="00E45223">
        <w:t xml:space="preserve"> These norms and standards </w:t>
      </w:r>
      <w:r w:rsidR="001B60F0">
        <w:t>will generate</w:t>
      </w:r>
      <w:r w:rsidR="00E45223">
        <w:t xml:space="preserve"> positive impact</w:t>
      </w:r>
      <w:r w:rsidR="001B60F0">
        <w:t>s</w:t>
      </w:r>
      <w:r w:rsidR="00E45223">
        <w:t xml:space="preserve"> on biodiversity</w:t>
      </w:r>
      <w:r w:rsidR="001B60F0">
        <w:t xml:space="preserve"> and ecosystems</w:t>
      </w:r>
      <w:r w:rsidR="00E45223">
        <w:t xml:space="preserve">, while promoting </w:t>
      </w:r>
      <w:r w:rsidR="003C6765">
        <w:t>natural area focus and community benefits</w:t>
      </w:r>
      <w:r w:rsidR="001B60F0">
        <w:t xml:space="preserve"> of the tourism sector</w:t>
      </w:r>
      <w:r w:rsidR="003C6765">
        <w:t>.</w:t>
      </w:r>
    </w:p>
    <w:p w14:paraId="7B0BEDDE" w14:textId="21A08D8F" w:rsidR="00D56A6E" w:rsidRDefault="00240149" w:rsidP="009B613B">
      <w:pPr>
        <w:jc w:val="both"/>
      </w:pPr>
      <w:r>
        <w:t xml:space="preserve">Even though there are potential negative impacts such as exploitation of natural resources and defining any nature related tourism activity as an eco-tourism work on the biodiversity, the positive impacts outweigh the possible negative impacts. The positive impacts include improving the human-nature relationship, improving knowledge and attitudes of communities living in and around important biodiversity areas towards the conservation and sustainable management of biodiversity as well as improving the </w:t>
      </w:r>
      <w:proofErr w:type="gramStart"/>
      <w:r>
        <w:t>socio economic</w:t>
      </w:r>
      <w:proofErr w:type="gramEnd"/>
      <w:r>
        <w:t xml:space="preserve"> status of people living close the biodiversity ‘hotspots’. </w:t>
      </w:r>
    </w:p>
    <w:p w14:paraId="5696A2B1" w14:textId="77777777" w:rsidR="0031477E" w:rsidRDefault="0031477E" w:rsidP="00BB5D98">
      <w:pPr>
        <w:jc w:val="both"/>
      </w:pPr>
      <w:r>
        <w:t>Action plan</w:t>
      </w:r>
    </w:p>
    <w:tbl>
      <w:tblPr>
        <w:tblStyle w:val="TableGrid"/>
        <w:tblW w:w="0" w:type="auto"/>
        <w:tblLook w:val="04A0" w:firstRow="1" w:lastRow="0" w:firstColumn="1" w:lastColumn="0" w:noHBand="0" w:noVBand="1"/>
      </w:tblPr>
      <w:tblGrid>
        <w:gridCol w:w="2014"/>
        <w:gridCol w:w="2039"/>
        <w:gridCol w:w="1506"/>
        <w:gridCol w:w="494"/>
        <w:gridCol w:w="494"/>
        <w:gridCol w:w="494"/>
        <w:gridCol w:w="494"/>
        <w:gridCol w:w="494"/>
        <w:gridCol w:w="494"/>
        <w:gridCol w:w="494"/>
      </w:tblGrid>
      <w:tr w:rsidR="0031477E" w14:paraId="57D37019" w14:textId="77777777" w:rsidTr="0031477E">
        <w:tc>
          <w:tcPr>
            <w:tcW w:w="2014" w:type="dxa"/>
            <w:vMerge w:val="restart"/>
            <w:vAlign w:val="center"/>
          </w:tcPr>
          <w:p w14:paraId="6BEC4A06" w14:textId="77777777" w:rsidR="0031477E" w:rsidRPr="00C27851" w:rsidRDefault="0031477E" w:rsidP="00435BC1">
            <w:pPr>
              <w:jc w:val="center"/>
            </w:pPr>
            <w:r w:rsidRPr="00C27851">
              <w:t>Output</w:t>
            </w:r>
          </w:p>
        </w:tc>
        <w:tc>
          <w:tcPr>
            <w:tcW w:w="2039" w:type="dxa"/>
            <w:vMerge w:val="restart"/>
            <w:vAlign w:val="center"/>
          </w:tcPr>
          <w:p w14:paraId="62E0AD55" w14:textId="77777777" w:rsidR="0031477E" w:rsidRPr="00C27851" w:rsidRDefault="0031477E" w:rsidP="00435BC1">
            <w:pPr>
              <w:jc w:val="center"/>
            </w:pPr>
            <w:r w:rsidRPr="00C27851">
              <w:t>Main activities</w:t>
            </w:r>
          </w:p>
        </w:tc>
        <w:tc>
          <w:tcPr>
            <w:tcW w:w="1506" w:type="dxa"/>
            <w:vMerge w:val="restart"/>
            <w:vAlign w:val="center"/>
          </w:tcPr>
          <w:p w14:paraId="6066781C" w14:textId="77777777" w:rsidR="0031477E" w:rsidRPr="00C27851" w:rsidRDefault="0031477E" w:rsidP="00435BC1">
            <w:pPr>
              <w:jc w:val="center"/>
            </w:pPr>
            <w:r w:rsidRPr="00C27851">
              <w:t>Responsibility</w:t>
            </w:r>
          </w:p>
        </w:tc>
        <w:tc>
          <w:tcPr>
            <w:tcW w:w="3458" w:type="dxa"/>
            <w:gridSpan w:val="7"/>
            <w:vAlign w:val="center"/>
          </w:tcPr>
          <w:p w14:paraId="561AA908" w14:textId="77777777" w:rsidR="0031477E" w:rsidRPr="00C27851" w:rsidRDefault="0031477E" w:rsidP="00435BC1">
            <w:pPr>
              <w:jc w:val="center"/>
            </w:pPr>
            <w:r w:rsidRPr="00C27851">
              <w:t>Year</w:t>
            </w:r>
          </w:p>
        </w:tc>
      </w:tr>
      <w:tr w:rsidR="0031477E" w14:paraId="612303F9" w14:textId="77777777" w:rsidTr="0031477E">
        <w:tc>
          <w:tcPr>
            <w:tcW w:w="2014" w:type="dxa"/>
            <w:vMerge/>
            <w:vAlign w:val="center"/>
          </w:tcPr>
          <w:p w14:paraId="658040E7" w14:textId="77777777" w:rsidR="0031477E" w:rsidRDefault="0031477E" w:rsidP="00435BC1">
            <w:pPr>
              <w:jc w:val="center"/>
            </w:pPr>
          </w:p>
        </w:tc>
        <w:tc>
          <w:tcPr>
            <w:tcW w:w="2039" w:type="dxa"/>
            <w:vMerge/>
            <w:vAlign w:val="center"/>
          </w:tcPr>
          <w:p w14:paraId="0446C540" w14:textId="77777777" w:rsidR="0031477E" w:rsidRDefault="0031477E" w:rsidP="00435BC1">
            <w:pPr>
              <w:jc w:val="center"/>
            </w:pPr>
          </w:p>
        </w:tc>
        <w:tc>
          <w:tcPr>
            <w:tcW w:w="1506" w:type="dxa"/>
            <w:vMerge/>
            <w:vAlign w:val="center"/>
          </w:tcPr>
          <w:p w14:paraId="2A09C7DF" w14:textId="77777777" w:rsidR="0031477E" w:rsidRDefault="0031477E" w:rsidP="00435BC1">
            <w:pPr>
              <w:jc w:val="center"/>
            </w:pPr>
          </w:p>
        </w:tc>
        <w:tc>
          <w:tcPr>
            <w:tcW w:w="494" w:type="dxa"/>
            <w:vAlign w:val="center"/>
          </w:tcPr>
          <w:p w14:paraId="54458283" w14:textId="77777777" w:rsidR="0031477E" w:rsidRDefault="0031477E" w:rsidP="00435BC1">
            <w:pPr>
              <w:jc w:val="center"/>
            </w:pPr>
            <w:r w:rsidRPr="00C27851">
              <w:t>‘18</w:t>
            </w:r>
          </w:p>
        </w:tc>
        <w:tc>
          <w:tcPr>
            <w:tcW w:w="494" w:type="dxa"/>
            <w:vAlign w:val="center"/>
          </w:tcPr>
          <w:p w14:paraId="09ACC6E4" w14:textId="77777777" w:rsidR="0031477E" w:rsidRDefault="0031477E" w:rsidP="00435BC1">
            <w:pPr>
              <w:jc w:val="center"/>
            </w:pPr>
            <w:r w:rsidRPr="00C27851">
              <w:t>‘19</w:t>
            </w:r>
          </w:p>
        </w:tc>
        <w:tc>
          <w:tcPr>
            <w:tcW w:w="494" w:type="dxa"/>
            <w:vAlign w:val="center"/>
          </w:tcPr>
          <w:p w14:paraId="4456D080" w14:textId="77777777" w:rsidR="0031477E" w:rsidRDefault="0031477E" w:rsidP="00435BC1">
            <w:pPr>
              <w:jc w:val="center"/>
            </w:pPr>
            <w:r w:rsidRPr="00C27851">
              <w:t>‘20</w:t>
            </w:r>
          </w:p>
        </w:tc>
        <w:tc>
          <w:tcPr>
            <w:tcW w:w="494" w:type="dxa"/>
            <w:vAlign w:val="center"/>
          </w:tcPr>
          <w:p w14:paraId="518996C4" w14:textId="77777777" w:rsidR="0031477E" w:rsidRDefault="0031477E" w:rsidP="00435BC1">
            <w:pPr>
              <w:jc w:val="center"/>
            </w:pPr>
            <w:r w:rsidRPr="00C27851">
              <w:t>‘21</w:t>
            </w:r>
          </w:p>
        </w:tc>
        <w:tc>
          <w:tcPr>
            <w:tcW w:w="494" w:type="dxa"/>
            <w:vAlign w:val="center"/>
          </w:tcPr>
          <w:p w14:paraId="2669B5FF" w14:textId="77777777" w:rsidR="0031477E" w:rsidRDefault="0031477E" w:rsidP="00435BC1">
            <w:pPr>
              <w:jc w:val="center"/>
            </w:pPr>
            <w:r w:rsidRPr="00C27851">
              <w:t>‘22</w:t>
            </w:r>
          </w:p>
        </w:tc>
        <w:tc>
          <w:tcPr>
            <w:tcW w:w="494" w:type="dxa"/>
            <w:vAlign w:val="center"/>
          </w:tcPr>
          <w:p w14:paraId="4077B47B" w14:textId="77777777" w:rsidR="0031477E" w:rsidRDefault="0031477E" w:rsidP="00435BC1">
            <w:pPr>
              <w:jc w:val="center"/>
            </w:pPr>
            <w:r w:rsidRPr="00C27851">
              <w:t>‘23</w:t>
            </w:r>
          </w:p>
        </w:tc>
        <w:tc>
          <w:tcPr>
            <w:tcW w:w="494" w:type="dxa"/>
            <w:vAlign w:val="center"/>
          </w:tcPr>
          <w:p w14:paraId="4B53990A" w14:textId="77777777" w:rsidR="0031477E" w:rsidRDefault="0031477E" w:rsidP="00435BC1">
            <w:pPr>
              <w:jc w:val="center"/>
            </w:pPr>
            <w:r w:rsidRPr="00C27851">
              <w:t>‘24</w:t>
            </w:r>
          </w:p>
        </w:tc>
      </w:tr>
      <w:tr w:rsidR="00CE2CC6" w14:paraId="15A41921" w14:textId="77777777" w:rsidTr="005514DA">
        <w:tc>
          <w:tcPr>
            <w:tcW w:w="2014" w:type="dxa"/>
            <w:vMerge w:val="restart"/>
            <w:vAlign w:val="center"/>
          </w:tcPr>
          <w:p w14:paraId="4920E91D" w14:textId="4A477F9F" w:rsidR="00CE2CC6" w:rsidRDefault="00CE2CC6" w:rsidP="005B0D9D">
            <w:r>
              <w:t xml:space="preserve">Eco-tourism programme for the </w:t>
            </w:r>
            <w:r w:rsidR="005B0D9D">
              <w:t>small-scale accommodation sector</w:t>
            </w:r>
            <w:r>
              <w:t xml:space="preserve"> </w:t>
            </w:r>
          </w:p>
        </w:tc>
        <w:tc>
          <w:tcPr>
            <w:tcW w:w="2039" w:type="dxa"/>
            <w:vAlign w:val="center"/>
          </w:tcPr>
          <w:p w14:paraId="0E9BD727" w14:textId="77777777" w:rsidR="00CE2CC6" w:rsidRDefault="00CE2CC6" w:rsidP="0031477E">
            <w:r>
              <w:t xml:space="preserve">Studying the ecotourism and financing issues </w:t>
            </w:r>
          </w:p>
        </w:tc>
        <w:tc>
          <w:tcPr>
            <w:tcW w:w="1506" w:type="dxa"/>
            <w:vAlign w:val="center"/>
          </w:tcPr>
          <w:p w14:paraId="0B99AFF0" w14:textId="77777777" w:rsidR="00CE2CC6" w:rsidRDefault="00CE2CC6" w:rsidP="0031477E">
            <w:r>
              <w:t>SLTDA</w:t>
            </w:r>
          </w:p>
        </w:tc>
        <w:tc>
          <w:tcPr>
            <w:tcW w:w="494" w:type="dxa"/>
            <w:shd w:val="clear" w:color="auto" w:fill="FFFFFF" w:themeFill="background1"/>
            <w:vAlign w:val="center"/>
          </w:tcPr>
          <w:p w14:paraId="21FF4994" w14:textId="77777777" w:rsidR="00CE2CC6" w:rsidRDefault="00CE2CC6" w:rsidP="00435BC1">
            <w:pPr>
              <w:jc w:val="center"/>
            </w:pPr>
          </w:p>
        </w:tc>
        <w:tc>
          <w:tcPr>
            <w:tcW w:w="494" w:type="dxa"/>
            <w:shd w:val="clear" w:color="auto" w:fill="BFBFBF" w:themeFill="background1" w:themeFillShade="BF"/>
            <w:vAlign w:val="center"/>
          </w:tcPr>
          <w:p w14:paraId="59B67FDE" w14:textId="77777777" w:rsidR="00CE2CC6" w:rsidRDefault="00CE2CC6" w:rsidP="00435BC1">
            <w:pPr>
              <w:jc w:val="center"/>
            </w:pPr>
          </w:p>
        </w:tc>
        <w:tc>
          <w:tcPr>
            <w:tcW w:w="494" w:type="dxa"/>
            <w:vAlign w:val="center"/>
          </w:tcPr>
          <w:p w14:paraId="49543DF7" w14:textId="77777777" w:rsidR="00CE2CC6" w:rsidRDefault="00CE2CC6" w:rsidP="00435BC1">
            <w:pPr>
              <w:jc w:val="center"/>
            </w:pPr>
          </w:p>
        </w:tc>
        <w:tc>
          <w:tcPr>
            <w:tcW w:w="494" w:type="dxa"/>
            <w:vAlign w:val="center"/>
          </w:tcPr>
          <w:p w14:paraId="3FDA1029" w14:textId="77777777" w:rsidR="00CE2CC6" w:rsidRDefault="00CE2CC6" w:rsidP="00435BC1">
            <w:pPr>
              <w:jc w:val="center"/>
            </w:pPr>
          </w:p>
        </w:tc>
        <w:tc>
          <w:tcPr>
            <w:tcW w:w="494" w:type="dxa"/>
            <w:vAlign w:val="center"/>
          </w:tcPr>
          <w:p w14:paraId="2BAAD029" w14:textId="77777777" w:rsidR="00CE2CC6" w:rsidRDefault="00CE2CC6" w:rsidP="00435BC1">
            <w:pPr>
              <w:jc w:val="center"/>
            </w:pPr>
          </w:p>
        </w:tc>
        <w:tc>
          <w:tcPr>
            <w:tcW w:w="494" w:type="dxa"/>
            <w:vAlign w:val="center"/>
          </w:tcPr>
          <w:p w14:paraId="53007183" w14:textId="77777777" w:rsidR="00CE2CC6" w:rsidRDefault="00CE2CC6" w:rsidP="00435BC1">
            <w:pPr>
              <w:jc w:val="center"/>
            </w:pPr>
          </w:p>
        </w:tc>
        <w:tc>
          <w:tcPr>
            <w:tcW w:w="494" w:type="dxa"/>
            <w:vAlign w:val="center"/>
          </w:tcPr>
          <w:p w14:paraId="530F8668" w14:textId="77777777" w:rsidR="00CE2CC6" w:rsidRDefault="00CE2CC6" w:rsidP="00435BC1">
            <w:pPr>
              <w:jc w:val="center"/>
            </w:pPr>
          </w:p>
        </w:tc>
      </w:tr>
      <w:tr w:rsidR="00CE2CC6" w14:paraId="41CCC0AA" w14:textId="77777777" w:rsidTr="005514DA">
        <w:tc>
          <w:tcPr>
            <w:tcW w:w="2014" w:type="dxa"/>
            <w:vMerge/>
            <w:vAlign w:val="center"/>
          </w:tcPr>
          <w:p w14:paraId="5364B631" w14:textId="77777777" w:rsidR="00CE2CC6" w:rsidRDefault="00CE2CC6" w:rsidP="0031477E"/>
        </w:tc>
        <w:tc>
          <w:tcPr>
            <w:tcW w:w="2039" w:type="dxa"/>
            <w:vAlign w:val="center"/>
          </w:tcPr>
          <w:p w14:paraId="59AE6046" w14:textId="77777777" w:rsidR="00CE2CC6" w:rsidRDefault="00CE2CC6" w:rsidP="0031477E">
            <w:r>
              <w:t>Designing the ecotourism road map</w:t>
            </w:r>
          </w:p>
        </w:tc>
        <w:tc>
          <w:tcPr>
            <w:tcW w:w="1506" w:type="dxa"/>
            <w:vAlign w:val="center"/>
          </w:tcPr>
          <w:p w14:paraId="11B03B8B" w14:textId="77777777" w:rsidR="00CE2CC6" w:rsidRDefault="00CE2CC6" w:rsidP="0031477E">
            <w:r>
              <w:t>SLTDA</w:t>
            </w:r>
          </w:p>
        </w:tc>
        <w:tc>
          <w:tcPr>
            <w:tcW w:w="494" w:type="dxa"/>
            <w:vAlign w:val="center"/>
          </w:tcPr>
          <w:p w14:paraId="30E8FC5E" w14:textId="77777777" w:rsidR="00CE2CC6" w:rsidRDefault="00CE2CC6" w:rsidP="00435BC1">
            <w:pPr>
              <w:jc w:val="center"/>
            </w:pPr>
          </w:p>
        </w:tc>
        <w:tc>
          <w:tcPr>
            <w:tcW w:w="494" w:type="dxa"/>
            <w:shd w:val="clear" w:color="auto" w:fill="BFBFBF" w:themeFill="background1" w:themeFillShade="BF"/>
            <w:vAlign w:val="center"/>
          </w:tcPr>
          <w:p w14:paraId="752676D1" w14:textId="77777777" w:rsidR="00CE2CC6" w:rsidRDefault="00CE2CC6" w:rsidP="00435BC1">
            <w:pPr>
              <w:jc w:val="center"/>
            </w:pPr>
          </w:p>
        </w:tc>
        <w:tc>
          <w:tcPr>
            <w:tcW w:w="494" w:type="dxa"/>
            <w:shd w:val="clear" w:color="auto" w:fill="BFBFBF" w:themeFill="background1" w:themeFillShade="BF"/>
            <w:vAlign w:val="center"/>
          </w:tcPr>
          <w:p w14:paraId="5FA91381" w14:textId="77777777" w:rsidR="00CE2CC6" w:rsidRDefault="00CE2CC6" w:rsidP="00435BC1">
            <w:pPr>
              <w:jc w:val="center"/>
            </w:pPr>
          </w:p>
        </w:tc>
        <w:tc>
          <w:tcPr>
            <w:tcW w:w="494" w:type="dxa"/>
            <w:vAlign w:val="center"/>
          </w:tcPr>
          <w:p w14:paraId="745E2522" w14:textId="77777777" w:rsidR="00CE2CC6" w:rsidRDefault="00CE2CC6" w:rsidP="00435BC1">
            <w:pPr>
              <w:jc w:val="center"/>
            </w:pPr>
          </w:p>
        </w:tc>
        <w:tc>
          <w:tcPr>
            <w:tcW w:w="494" w:type="dxa"/>
            <w:vAlign w:val="center"/>
          </w:tcPr>
          <w:p w14:paraId="5AC3916C" w14:textId="77777777" w:rsidR="00CE2CC6" w:rsidRDefault="00CE2CC6" w:rsidP="00435BC1">
            <w:pPr>
              <w:jc w:val="center"/>
            </w:pPr>
          </w:p>
        </w:tc>
        <w:tc>
          <w:tcPr>
            <w:tcW w:w="494" w:type="dxa"/>
            <w:vAlign w:val="center"/>
          </w:tcPr>
          <w:p w14:paraId="1BAEB0AE" w14:textId="77777777" w:rsidR="00CE2CC6" w:rsidRDefault="00CE2CC6" w:rsidP="00435BC1">
            <w:pPr>
              <w:jc w:val="center"/>
            </w:pPr>
          </w:p>
        </w:tc>
        <w:tc>
          <w:tcPr>
            <w:tcW w:w="494" w:type="dxa"/>
            <w:vAlign w:val="center"/>
          </w:tcPr>
          <w:p w14:paraId="17BCD1E3" w14:textId="77777777" w:rsidR="00CE2CC6" w:rsidRDefault="00CE2CC6" w:rsidP="00435BC1">
            <w:pPr>
              <w:jc w:val="center"/>
            </w:pPr>
          </w:p>
        </w:tc>
      </w:tr>
      <w:tr w:rsidR="00CE2CC6" w14:paraId="40BE1291" w14:textId="77777777" w:rsidTr="005514DA">
        <w:tc>
          <w:tcPr>
            <w:tcW w:w="2014" w:type="dxa"/>
            <w:vMerge/>
            <w:vAlign w:val="center"/>
          </w:tcPr>
          <w:p w14:paraId="6708135F" w14:textId="77777777" w:rsidR="00CE2CC6" w:rsidRDefault="00CE2CC6" w:rsidP="0031477E"/>
        </w:tc>
        <w:tc>
          <w:tcPr>
            <w:tcW w:w="2039" w:type="dxa"/>
            <w:vAlign w:val="center"/>
          </w:tcPr>
          <w:p w14:paraId="3BDC06A4" w14:textId="77777777" w:rsidR="00CE2CC6" w:rsidRDefault="00CE2CC6" w:rsidP="0031477E">
            <w:r>
              <w:t>Stakeholder consultation and validation</w:t>
            </w:r>
          </w:p>
        </w:tc>
        <w:tc>
          <w:tcPr>
            <w:tcW w:w="1506" w:type="dxa"/>
            <w:vAlign w:val="center"/>
          </w:tcPr>
          <w:p w14:paraId="02F7A756" w14:textId="77777777" w:rsidR="00CE2CC6" w:rsidRDefault="00CE2CC6" w:rsidP="0031477E">
            <w:r>
              <w:t>SLTDA</w:t>
            </w:r>
          </w:p>
          <w:p w14:paraId="71DB34FA" w14:textId="77777777" w:rsidR="00337161" w:rsidRDefault="00337161" w:rsidP="0031477E">
            <w:r>
              <w:t>PCs</w:t>
            </w:r>
          </w:p>
        </w:tc>
        <w:tc>
          <w:tcPr>
            <w:tcW w:w="494" w:type="dxa"/>
            <w:vAlign w:val="center"/>
          </w:tcPr>
          <w:p w14:paraId="018C5782" w14:textId="77777777" w:rsidR="00CE2CC6" w:rsidRDefault="00CE2CC6" w:rsidP="00435BC1">
            <w:pPr>
              <w:jc w:val="center"/>
            </w:pPr>
          </w:p>
        </w:tc>
        <w:tc>
          <w:tcPr>
            <w:tcW w:w="494" w:type="dxa"/>
            <w:shd w:val="clear" w:color="auto" w:fill="BFBFBF" w:themeFill="background1" w:themeFillShade="BF"/>
            <w:vAlign w:val="center"/>
          </w:tcPr>
          <w:p w14:paraId="0005C403" w14:textId="77777777" w:rsidR="00CE2CC6" w:rsidRDefault="00CE2CC6" w:rsidP="00435BC1">
            <w:pPr>
              <w:jc w:val="center"/>
            </w:pPr>
          </w:p>
        </w:tc>
        <w:tc>
          <w:tcPr>
            <w:tcW w:w="494" w:type="dxa"/>
            <w:shd w:val="clear" w:color="auto" w:fill="BFBFBF" w:themeFill="background1" w:themeFillShade="BF"/>
            <w:vAlign w:val="center"/>
          </w:tcPr>
          <w:p w14:paraId="783D59E4" w14:textId="77777777" w:rsidR="00CE2CC6" w:rsidRDefault="00CE2CC6" w:rsidP="00435BC1">
            <w:pPr>
              <w:jc w:val="center"/>
            </w:pPr>
          </w:p>
        </w:tc>
        <w:tc>
          <w:tcPr>
            <w:tcW w:w="494" w:type="dxa"/>
            <w:shd w:val="clear" w:color="auto" w:fill="FFFFFF" w:themeFill="background1"/>
            <w:vAlign w:val="center"/>
          </w:tcPr>
          <w:p w14:paraId="64AE6B02" w14:textId="77777777" w:rsidR="00CE2CC6" w:rsidRDefault="00CE2CC6" w:rsidP="00435BC1">
            <w:pPr>
              <w:jc w:val="center"/>
            </w:pPr>
          </w:p>
        </w:tc>
        <w:tc>
          <w:tcPr>
            <w:tcW w:w="494" w:type="dxa"/>
            <w:vAlign w:val="center"/>
          </w:tcPr>
          <w:p w14:paraId="124C244A" w14:textId="77777777" w:rsidR="00CE2CC6" w:rsidRDefault="00CE2CC6" w:rsidP="00435BC1">
            <w:pPr>
              <w:jc w:val="center"/>
            </w:pPr>
          </w:p>
        </w:tc>
        <w:tc>
          <w:tcPr>
            <w:tcW w:w="494" w:type="dxa"/>
            <w:vAlign w:val="center"/>
          </w:tcPr>
          <w:p w14:paraId="0E18E854" w14:textId="77777777" w:rsidR="00CE2CC6" w:rsidRDefault="00CE2CC6" w:rsidP="00435BC1">
            <w:pPr>
              <w:jc w:val="center"/>
            </w:pPr>
          </w:p>
        </w:tc>
        <w:tc>
          <w:tcPr>
            <w:tcW w:w="494" w:type="dxa"/>
            <w:vAlign w:val="center"/>
          </w:tcPr>
          <w:p w14:paraId="6C958FE4" w14:textId="77777777" w:rsidR="00CE2CC6" w:rsidRDefault="00CE2CC6" w:rsidP="00435BC1">
            <w:pPr>
              <w:jc w:val="center"/>
            </w:pPr>
          </w:p>
        </w:tc>
      </w:tr>
      <w:tr w:rsidR="00CE2CC6" w14:paraId="78266B2D" w14:textId="77777777" w:rsidTr="005514DA">
        <w:tc>
          <w:tcPr>
            <w:tcW w:w="2014" w:type="dxa"/>
            <w:vMerge/>
            <w:vAlign w:val="center"/>
          </w:tcPr>
          <w:p w14:paraId="56DB1E84" w14:textId="77777777" w:rsidR="00CE2CC6" w:rsidRDefault="00CE2CC6" w:rsidP="0031477E"/>
        </w:tc>
        <w:tc>
          <w:tcPr>
            <w:tcW w:w="2039" w:type="dxa"/>
            <w:vAlign w:val="center"/>
          </w:tcPr>
          <w:p w14:paraId="2F2E7FA0" w14:textId="77777777" w:rsidR="00CE2CC6" w:rsidRDefault="00CE2CC6" w:rsidP="0031477E">
            <w:r>
              <w:t>Government approval</w:t>
            </w:r>
          </w:p>
        </w:tc>
        <w:tc>
          <w:tcPr>
            <w:tcW w:w="1506" w:type="dxa"/>
            <w:vAlign w:val="center"/>
          </w:tcPr>
          <w:p w14:paraId="25E2F684" w14:textId="77777777" w:rsidR="00CE2CC6" w:rsidRDefault="00CE2CC6" w:rsidP="00337161">
            <w:r>
              <w:t>SLTDA</w:t>
            </w:r>
            <w:r w:rsidR="00337161">
              <w:t xml:space="preserve"> &amp; </w:t>
            </w:r>
            <w:r>
              <w:t>Ministry</w:t>
            </w:r>
          </w:p>
        </w:tc>
        <w:tc>
          <w:tcPr>
            <w:tcW w:w="494" w:type="dxa"/>
            <w:vAlign w:val="center"/>
          </w:tcPr>
          <w:p w14:paraId="0F17F42E" w14:textId="77777777" w:rsidR="00CE2CC6" w:rsidRDefault="00CE2CC6" w:rsidP="00435BC1">
            <w:pPr>
              <w:jc w:val="center"/>
            </w:pPr>
          </w:p>
        </w:tc>
        <w:tc>
          <w:tcPr>
            <w:tcW w:w="494" w:type="dxa"/>
            <w:vAlign w:val="center"/>
          </w:tcPr>
          <w:p w14:paraId="24FF5477" w14:textId="77777777" w:rsidR="00CE2CC6" w:rsidRDefault="00CE2CC6" w:rsidP="00435BC1">
            <w:pPr>
              <w:jc w:val="center"/>
            </w:pPr>
          </w:p>
        </w:tc>
        <w:tc>
          <w:tcPr>
            <w:tcW w:w="494" w:type="dxa"/>
            <w:shd w:val="clear" w:color="auto" w:fill="BFBFBF" w:themeFill="background1" w:themeFillShade="BF"/>
            <w:vAlign w:val="center"/>
          </w:tcPr>
          <w:p w14:paraId="72582534" w14:textId="77777777" w:rsidR="00CE2CC6" w:rsidRDefault="00CE2CC6" w:rsidP="00435BC1">
            <w:pPr>
              <w:jc w:val="center"/>
            </w:pPr>
          </w:p>
        </w:tc>
        <w:tc>
          <w:tcPr>
            <w:tcW w:w="494" w:type="dxa"/>
            <w:shd w:val="clear" w:color="auto" w:fill="BFBFBF" w:themeFill="background1" w:themeFillShade="BF"/>
            <w:vAlign w:val="center"/>
          </w:tcPr>
          <w:p w14:paraId="3A984323" w14:textId="77777777" w:rsidR="00CE2CC6" w:rsidRDefault="00CE2CC6" w:rsidP="00435BC1">
            <w:pPr>
              <w:jc w:val="center"/>
            </w:pPr>
          </w:p>
        </w:tc>
        <w:tc>
          <w:tcPr>
            <w:tcW w:w="494" w:type="dxa"/>
            <w:vAlign w:val="center"/>
          </w:tcPr>
          <w:p w14:paraId="7E546A4E" w14:textId="77777777" w:rsidR="00CE2CC6" w:rsidRDefault="00CE2CC6" w:rsidP="00435BC1">
            <w:pPr>
              <w:jc w:val="center"/>
            </w:pPr>
          </w:p>
        </w:tc>
        <w:tc>
          <w:tcPr>
            <w:tcW w:w="494" w:type="dxa"/>
            <w:vAlign w:val="center"/>
          </w:tcPr>
          <w:p w14:paraId="077F3550" w14:textId="77777777" w:rsidR="00CE2CC6" w:rsidRDefault="00CE2CC6" w:rsidP="00435BC1">
            <w:pPr>
              <w:jc w:val="center"/>
            </w:pPr>
          </w:p>
        </w:tc>
        <w:tc>
          <w:tcPr>
            <w:tcW w:w="494" w:type="dxa"/>
            <w:vAlign w:val="center"/>
          </w:tcPr>
          <w:p w14:paraId="362D0505" w14:textId="77777777" w:rsidR="00CE2CC6" w:rsidRDefault="00CE2CC6" w:rsidP="00435BC1">
            <w:pPr>
              <w:jc w:val="center"/>
            </w:pPr>
          </w:p>
        </w:tc>
      </w:tr>
      <w:tr w:rsidR="00A94604" w14:paraId="2F5FE121" w14:textId="77777777" w:rsidTr="005514DA">
        <w:tc>
          <w:tcPr>
            <w:tcW w:w="2014" w:type="dxa"/>
            <w:vMerge w:val="restart"/>
            <w:vAlign w:val="center"/>
          </w:tcPr>
          <w:p w14:paraId="74EA9FCB" w14:textId="77777777" w:rsidR="00A94604" w:rsidRDefault="00A94604" w:rsidP="0031477E">
            <w:r>
              <w:t>Programme implementation</w:t>
            </w:r>
          </w:p>
        </w:tc>
        <w:tc>
          <w:tcPr>
            <w:tcW w:w="2039" w:type="dxa"/>
            <w:vAlign w:val="center"/>
          </w:tcPr>
          <w:p w14:paraId="68013816" w14:textId="77777777" w:rsidR="00A94604" w:rsidRDefault="00A94604" w:rsidP="0031477E">
            <w:r>
              <w:t>Preparing guidelines and user manuals</w:t>
            </w:r>
          </w:p>
        </w:tc>
        <w:tc>
          <w:tcPr>
            <w:tcW w:w="1506" w:type="dxa"/>
            <w:vAlign w:val="center"/>
          </w:tcPr>
          <w:p w14:paraId="11D1A240" w14:textId="77777777" w:rsidR="00A94604" w:rsidRDefault="00A94604" w:rsidP="0031477E">
            <w:r>
              <w:t>SLTDA</w:t>
            </w:r>
          </w:p>
        </w:tc>
        <w:tc>
          <w:tcPr>
            <w:tcW w:w="494" w:type="dxa"/>
            <w:vAlign w:val="center"/>
          </w:tcPr>
          <w:p w14:paraId="324A2733" w14:textId="77777777" w:rsidR="00A94604" w:rsidRDefault="00A94604" w:rsidP="00435BC1">
            <w:pPr>
              <w:jc w:val="center"/>
            </w:pPr>
          </w:p>
        </w:tc>
        <w:tc>
          <w:tcPr>
            <w:tcW w:w="494" w:type="dxa"/>
            <w:vAlign w:val="center"/>
          </w:tcPr>
          <w:p w14:paraId="61CEA0F9" w14:textId="77777777" w:rsidR="00A94604" w:rsidRDefault="00A94604" w:rsidP="00435BC1">
            <w:pPr>
              <w:jc w:val="center"/>
            </w:pPr>
          </w:p>
        </w:tc>
        <w:tc>
          <w:tcPr>
            <w:tcW w:w="494" w:type="dxa"/>
            <w:vAlign w:val="center"/>
          </w:tcPr>
          <w:p w14:paraId="4F025B4E" w14:textId="77777777" w:rsidR="00A94604" w:rsidRDefault="00A94604" w:rsidP="00435BC1">
            <w:pPr>
              <w:jc w:val="center"/>
            </w:pPr>
          </w:p>
        </w:tc>
        <w:tc>
          <w:tcPr>
            <w:tcW w:w="494" w:type="dxa"/>
            <w:shd w:val="clear" w:color="auto" w:fill="BFBFBF" w:themeFill="background1" w:themeFillShade="BF"/>
            <w:vAlign w:val="center"/>
          </w:tcPr>
          <w:p w14:paraId="287599ED" w14:textId="77777777" w:rsidR="00A94604" w:rsidRDefault="00A94604" w:rsidP="00435BC1">
            <w:pPr>
              <w:jc w:val="center"/>
            </w:pPr>
          </w:p>
        </w:tc>
        <w:tc>
          <w:tcPr>
            <w:tcW w:w="494" w:type="dxa"/>
            <w:vAlign w:val="center"/>
          </w:tcPr>
          <w:p w14:paraId="429EE3BA" w14:textId="77777777" w:rsidR="00A94604" w:rsidRDefault="00A94604" w:rsidP="00435BC1">
            <w:pPr>
              <w:jc w:val="center"/>
            </w:pPr>
          </w:p>
        </w:tc>
        <w:tc>
          <w:tcPr>
            <w:tcW w:w="494" w:type="dxa"/>
            <w:vAlign w:val="center"/>
          </w:tcPr>
          <w:p w14:paraId="64932D1C" w14:textId="77777777" w:rsidR="00A94604" w:rsidRDefault="00A94604" w:rsidP="00435BC1">
            <w:pPr>
              <w:jc w:val="center"/>
            </w:pPr>
          </w:p>
        </w:tc>
        <w:tc>
          <w:tcPr>
            <w:tcW w:w="494" w:type="dxa"/>
            <w:vAlign w:val="center"/>
          </w:tcPr>
          <w:p w14:paraId="7D368381" w14:textId="77777777" w:rsidR="00A94604" w:rsidRDefault="00A94604" w:rsidP="00435BC1">
            <w:pPr>
              <w:jc w:val="center"/>
            </w:pPr>
          </w:p>
        </w:tc>
      </w:tr>
      <w:tr w:rsidR="00A94604" w14:paraId="5DD44A6A" w14:textId="77777777" w:rsidTr="005514DA">
        <w:tc>
          <w:tcPr>
            <w:tcW w:w="2014" w:type="dxa"/>
            <w:vMerge/>
            <w:vAlign w:val="center"/>
          </w:tcPr>
          <w:p w14:paraId="0C4C6CCF" w14:textId="77777777" w:rsidR="00A94604" w:rsidRDefault="00A94604" w:rsidP="0031477E"/>
        </w:tc>
        <w:tc>
          <w:tcPr>
            <w:tcW w:w="2039" w:type="dxa"/>
            <w:vAlign w:val="center"/>
          </w:tcPr>
          <w:p w14:paraId="6AF6EF0E" w14:textId="77777777" w:rsidR="00A94604" w:rsidRDefault="00A94604" w:rsidP="0031477E">
            <w:r>
              <w:t>Training the trainers</w:t>
            </w:r>
          </w:p>
        </w:tc>
        <w:tc>
          <w:tcPr>
            <w:tcW w:w="1506" w:type="dxa"/>
            <w:vAlign w:val="center"/>
          </w:tcPr>
          <w:p w14:paraId="1E3DCC39" w14:textId="77777777" w:rsidR="00A94604" w:rsidRDefault="00A94604" w:rsidP="0031477E">
            <w:r>
              <w:t>SLTDA &amp; PCs</w:t>
            </w:r>
          </w:p>
        </w:tc>
        <w:tc>
          <w:tcPr>
            <w:tcW w:w="494" w:type="dxa"/>
            <w:vAlign w:val="center"/>
          </w:tcPr>
          <w:p w14:paraId="43D05BFB" w14:textId="77777777" w:rsidR="00A94604" w:rsidRDefault="00A94604" w:rsidP="00435BC1">
            <w:pPr>
              <w:jc w:val="center"/>
            </w:pPr>
          </w:p>
        </w:tc>
        <w:tc>
          <w:tcPr>
            <w:tcW w:w="494" w:type="dxa"/>
            <w:vAlign w:val="center"/>
          </w:tcPr>
          <w:p w14:paraId="2B658BA5" w14:textId="77777777" w:rsidR="00A94604" w:rsidRDefault="00A94604" w:rsidP="00435BC1">
            <w:pPr>
              <w:jc w:val="center"/>
            </w:pPr>
          </w:p>
        </w:tc>
        <w:tc>
          <w:tcPr>
            <w:tcW w:w="494" w:type="dxa"/>
            <w:vAlign w:val="center"/>
          </w:tcPr>
          <w:p w14:paraId="71AAFC26" w14:textId="77777777" w:rsidR="00A94604" w:rsidRDefault="00A94604" w:rsidP="00435BC1">
            <w:pPr>
              <w:jc w:val="center"/>
            </w:pPr>
          </w:p>
        </w:tc>
        <w:tc>
          <w:tcPr>
            <w:tcW w:w="494" w:type="dxa"/>
            <w:shd w:val="clear" w:color="auto" w:fill="BFBFBF" w:themeFill="background1" w:themeFillShade="BF"/>
            <w:vAlign w:val="center"/>
          </w:tcPr>
          <w:p w14:paraId="47983B62" w14:textId="77777777" w:rsidR="00A94604" w:rsidRDefault="00A94604" w:rsidP="00435BC1">
            <w:pPr>
              <w:jc w:val="center"/>
            </w:pPr>
          </w:p>
        </w:tc>
        <w:tc>
          <w:tcPr>
            <w:tcW w:w="494" w:type="dxa"/>
            <w:shd w:val="clear" w:color="auto" w:fill="BFBFBF" w:themeFill="background1" w:themeFillShade="BF"/>
            <w:vAlign w:val="center"/>
          </w:tcPr>
          <w:p w14:paraId="362B08ED" w14:textId="77777777" w:rsidR="00A94604" w:rsidRDefault="00A94604" w:rsidP="00435BC1">
            <w:pPr>
              <w:jc w:val="center"/>
            </w:pPr>
          </w:p>
        </w:tc>
        <w:tc>
          <w:tcPr>
            <w:tcW w:w="494" w:type="dxa"/>
            <w:vAlign w:val="center"/>
          </w:tcPr>
          <w:p w14:paraId="2C023C46" w14:textId="77777777" w:rsidR="00A94604" w:rsidRDefault="00A94604" w:rsidP="00435BC1">
            <w:pPr>
              <w:jc w:val="center"/>
            </w:pPr>
          </w:p>
        </w:tc>
        <w:tc>
          <w:tcPr>
            <w:tcW w:w="494" w:type="dxa"/>
            <w:vAlign w:val="center"/>
          </w:tcPr>
          <w:p w14:paraId="6CCF0A8A" w14:textId="77777777" w:rsidR="00A94604" w:rsidRDefault="00A94604" w:rsidP="00435BC1">
            <w:pPr>
              <w:jc w:val="center"/>
            </w:pPr>
          </w:p>
        </w:tc>
      </w:tr>
      <w:tr w:rsidR="003B0BC5" w14:paraId="3987764D" w14:textId="77777777" w:rsidTr="005514DA">
        <w:tc>
          <w:tcPr>
            <w:tcW w:w="2014" w:type="dxa"/>
            <w:vMerge/>
            <w:vAlign w:val="center"/>
          </w:tcPr>
          <w:p w14:paraId="718324A5" w14:textId="77777777" w:rsidR="003B0BC5" w:rsidRDefault="003B0BC5" w:rsidP="0031477E"/>
        </w:tc>
        <w:tc>
          <w:tcPr>
            <w:tcW w:w="2039" w:type="dxa"/>
            <w:vAlign w:val="center"/>
          </w:tcPr>
          <w:p w14:paraId="4F21C574" w14:textId="1CD22EEF" w:rsidR="003B0BC5" w:rsidRDefault="003B0BC5" w:rsidP="0031477E">
            <w:r>
              <w:t>National conference on ecotourism potentials</w:t>
            </w:r>
          </w:p>
        </w:tc>
        <w:tc>
          <w:tcPr>
            <w:tcW w:w="1506" w:type="dxa"/>
            <w:vAlign w:val="center"/>
          </w:tcPr>
          <w:p w14:paraId="5DA0C230" w14:textId="69041190" w:rsidR="003B0BC5" w:rsidRDefault="003B0BC5" w:rsidP="0031477E">
            <w:r>
              <w:t>SLTDA &amp; PCs</w:t>
            </w:r>
          </w:p>
        </w:tc>
        <w:tc>
          <w:tcPr>
            <w:tcW w:w="494" w:type="dxa"/>
            <w:vAlign w:val="center"/>
          </w:tcPr>
          <w:p w14:paraId="7B469D7A" w14:textId="77777777" w:rsidR="003B0BC5" w:rsidRDefault="003B0BC5" w:rsidP="00435BC1">
            <w:pPr>
              <w:jc w:val="center"/>
            </w:pPr>
          </w:p>
        </w:tc>
        <w:tc>
          <w:tcPr>
            <w:tcW w:w="494" w:type="dxa"/>
            <w:vAlign w:val="center"/>
          </w:tcPr>
          <w:p w14:paraId="5F143CB1" w14:textId="77777777" w:rsidR="003B0BC5" w:rsidRDefault="003B0BC5" w:rsidP="00435BC1">
            <w:pPr>
              <w:jc w:val="center"/>
            </w:pPr>
          </w:p>
        </w:tc>
        <w:tc>
          <w:tcPr>
            <w:tcW w:w="494" w:type="dxa"/>
            <w:vAlign w:val="center"/>
          </w:tcPr>
          <w:p w14:paraId="26693762" w14:textId="77777777" w:rsidR="003B0BC5" w:rsidRDefault="003B0BC5" w:rsidP="00435BC1">
            <w:pPr>
              <w:jc w:val="center"/>
            </w:pPr>
          </w:p>
        </w:tc>
        <w:tc>
          <w:tcPr>
            <w:tcW w:w="494" w:type="dxa"/>
            <w:shd w:val="clear" w:color="auto" w:fill="BFBFBF" w:themeFill="background1" w:themeFillShade="BF"/>
            <w:vAlign w:val="center"/>
          </w:tcPr>
          <w:p w14:paraId="2D7E5F5A" w14:textId="77777777" w:rsidR="003B0BC5" w:rsidRDefault="003B0BC5" w:rsidP="00435BC1">
            <w:pPr>
              <w:jc w:val="center"/>
            </w:pPr>
          </w:p>
        </w:tc>
        <w:tc>
          <w:tcPr>
            <w:tcW w:w="494" w:type="dxa"/>
            <w:shd w:val="clear" w:color="auto" w:fill="BFBFBF" w:themeFill="background1" w:themeFillShade="BF"/>
            <w:vAlign w:val="center"/>
          </w:tcPr>
          <w:p w14:paraId="641CD4BD" w14:textId="77777777" w:rsidR="003B0BC5" w:rsidRDefault="003B0BC5" w:rsidP="00435BC1">
            <w:pPr>
              <w:jc w:val="center"/>
            </w:pPr>
          </w:p>
        </w:tc>
        <w:tc>
          <w:tcPr>
            <w:tcW w:w="494" w:type="dxa"/>
            <w:vAlign w:val="center"/>
          </w:tcPr>
          <w:p w14:paraId="411A36B8" w14:textId="77777777" w:rsidR="003B0BC5" w:rsidRDefault="003B0BC5" w:rsidP="00435BC1">
            <w:pPr>
              <w:jc w:val="center"/>
            </w:pPr>
          </w:p>
        </w:tc>
        <w:tc>
          <w:tcPr>
            <w:tcW w:w="494" w:type="dxa"/>
            <w:vAlign w:val="center"/>
          </w:tcPr>
          <w:p w14:paraId="25B20571" w14:textId="77777777" w:rsidR="003B0BC5" w:rsidRDefault="003B0BC5" w:rsidP="00435BC1">
            <w:pPr>
              <w:jc w:val="center"/>
            </w:pPr>
          </w:p>
        </w:tc>
      </w:tr>
      <w:tr w:rsidR="00240149" w14:paraId="75DECC03" w14:textId="77777777" w:rsidTr="005514DA">
        <w:tc>
          <w:tcPr>
            <w:tcW w:w="2014" w:type="dxa"/>
            <w:vMerge/>
            <w:vAlign w:val="center"/>
          </w:tcPr>
          <w:p w14:paraId="0BED7E8A" w14:textId="77777777" w:rsidR="00240149" w:rsidRDefault="00240149" w:rsidP="0031477E"/>
        </w:tc>
        <w:tc>
          <w:tcPr>
            <w:tcW w:w="2039" w:type="dxa"/>
            <w:vAlign w:val="center"/>
          </w:tcPr>
          <w:p w14:paraId="311C2549" w14:textId="33629FAC" w:rsidR="00240149" w:rsidRDefault="00240149" w:rsidP="0031477E">
            <w:r>
              <w:t>Introducing incentive packages including credit schemes for potential investors on eco</w:t>
            </w:r>
            <w:r w:rsidR="00D217DC">
              <w:t>-</w:t>
            </w:r>
            <w:r>
              <w:t>tourism sector</w:t>
            </w:r>
          </w:p>
        </w:tc>
        <w:tc>
          <w:tcPr>
            <w:tcW w:w="1506" w:type="dxa"/>
            <w:vAlign w:val="center"/>
          </w:tcPr>
          <w:p w14:paraId="1FCF415B" w14:textId="77777777" w:rsidR="00240149" w:rsidRDefault="00240149" w:rsidP="0031477E"/>
        </w:tc>
        <w:tc>
          <w:tcPr>
            <w:tcW w:w="494" w:type="dxa"/>
            <w:vAlign w:val="center"/>
          </w:tcPr>
          <w:p w14:paraId="6D0AFFBF" w14:textId="77777777" w:rsidR="00240149" w:rsidRDefault="00240149" w:rsidP="00435BC1">
            <w:pPr>
              <w:jc w:val="center"/>
            </w:pPr>
          </w:p>
        </w:tc>
        <w:tc>
          <w:tcPr>
            <w:tcW w:w="494" w:type="dxa"/>
            <w:vAlign w:val="center"/>
          </w:tcPr>
          <w:p w14:paraId="5A022B5C" w14:textId="77777777" w:rsidR="00240149" w:rsidRDefault="00240149" w:rsidP="00435BC1">
            <w:pPr>
              <w:jc w:val="center"/>
            </w:pPr>
          </w:p>
        </w:tc>
        <w:tc>
          <w:tcPr>
            <w:tcW w:w="494" w:type="dxa"/>
            <w:vAlign w:val="center"/>
          </w:tcPr>
          <w:p w14:paraId="204654B2" w14:textId="77777777" w:rsidR="00240149" w:rsidRDefault="00240149" w:rsidP="00435BC1">
            <w:pPr>
              <w:jc w:val="center"/>
            </w:pPr>
          </w:p>
        </w:tc>
        <w:tc>
          <w:tcPr>
            <w:tcW w:w="494" w:type="dxa"/>
            <w:shd w:val="clear" w:color="auto" w:fill="BFBFBF" w:themeFill="background1" w:themeFillShade="BF"/>
            <w:vAlign w:val="center"/>
          </w:tcPr>
          <w:p w14:paraId="452BF633" w14:textId="77777777" w:rsidR="00240149" w:rsidRDefault="00240149" w:rsidP="00435BC1">
            <w:pPr>
              <w:jc w:val="center"/>
            </w:pPr>
          </w:p>
        </w:tc>
        <w:tc>
          <w:tcPr>
            <w:tcW w:w="494" w:type="dxa"/>
            <w:shd w:val="clear" w:color="auto" w:fill="BFBFBF" w:themeFill="background1" w:themeFillShade="BF"/>
            <w:vAlign w:val="center"/>
          </w:tcPr>
          <w:p w14:paraId="4290CB95" w14:textId="77777777" w:rsidR="00240149" w:rsidRDefault="00240149" w:rsidP="00435BC1">
            <w:pPr>
              <w:jc w:val="center"/>
            </w:pPr>
          </w:p>
        </w:tc>
        <w:tc>
          <w:tcPr>
            <w:tcW w:w="494" w:type="dxa"/>
            <w:vAlign w:val="center"/>
          </w:tcPr>
          <w:p w14:paraId="47DEF0CA" w14:textId="77777777" w:rsidR="00240149" w:rsidRDefault="00240149" w:rsidP="00435BC1">
            <w:pPr>
              <w:jc w:val="center"/>
            </w:pPr>
          </w:p>
        </w:tc>
        <w:tc>
          <w:tcPr>
            <w:tcW w:w="494" w:type="dxa"/>
            <w:vAlign w:val="center"/>
          </w:tcPr>
          <w:p w14:paraId="4EC8512B" w14:textId="77777777" w:rsidR="00240149" w:rsidRDefault="00240149" w:rsidP="00435BC1">
            <w:pPr>
              <w:jc w:val="center"/>
            </w:pPr>
          </w:p>
        </w:tc>
      </w:tr>
      <w:tr w:rsidR="00A94604" w14:paraId="0420E85C" w14:textId="77777777" w:rsidTr="005514DA">
        <w:tc>
          <w:tcPr>
            <w:tcW w:w="2014" w:type="dxa"/>
            <w:vMerge/>
            <w:vAlign w:val="center"/>
          </w:tcPr>
          <w:p w14:paraId="3437AF22" w14:textId="77777777" w:rsidR="00A94604" w:rsidRDefault="00A94604" w:rsidP="0031477E"/>
        </w:tc>
        <w:tc>
          <w:tcPr>
            <w:tcW w:w="2039" w:type="dxa"/>
            <w:vAlign w:val="center"/>
          </w:tcPr>
          <w:p w14:paraId="57467109" w14:textId="77777777" w:rsidR="00A94604" w:rsidRDefault="00A94604" w:rsidP="0031477E">
            <w:r>
              <w:t>Capacity building programmes</w:t>
            </w:r>
          </w:p>
        </w:tc>
        <w:tc>
          <w:tcPr>
            <w:tcW w:w="1506" w:type="dxa"/>
            <w:vAlign w:val="center"/>
          </w:tcPr>
          <w:p w14:paraId="446B3D43" w14:textId="77777777" w:rsidR="00A94604" w:rsidRDefault="00A94604" w:rsidP="0031477E">
            <w:r>
              <w:t>SLTDA &amp;</w:t>
            </w:r>
          </w:p>
          <w:p w14:paraId="611A08C2" w14:textId="77777777" w:rsidR="00A94604" w:rsidRDefault="00A94604" w:rsidP="0031477E">
            <w:r>
              <w:t>PCs</w:t>
            </w:r>
          </w:p>
        </w:tc>
        <w:tc>
          <w:tcPr>
            <w:tcW w:w="494" w:type="dxa"/>
            <w:vAlign w:val="center"/>
          </w:tcPr>
          <w:p w14:paraId="3ECED703" w14:textId="77777777" w:rsidR="00A94604" w:rsidRDefault="00A94604" w:rsidP="00435BC1">
            <w:pPr>
              <w:jc w:val="center"/>
            </w:pPr>
          </w:p>
        </w:tc>
        <w:tc>
          <w:tcPr>
            <w:tcW w:w="494" w:type="dxa"/>
            <w:vAlign w:val="center"/>
          </w:tcPr>
          <w:p w14:paraId="201B7472" w14:textId="77777777" w:rsidR="00A94604" w:rsidRDefault="00A94604" w:rsidP="00435BC1">
            <w:pPr>
              <w:jc w:val="center"/>
            </w:pPr>
          </w:p>
        </w:tc>
        <w:tc>
          <w:tcPr>
            <w:tcW w:w="494" w:type="dxa"/>
            <w:vAlign w:val="center"/>
          </w:tcPr>
          <w:p w14:paraId="584EF189" w14:textId="77777777" w:rsidR="00A94604" w:rsidRDefault="00A94604" w:rsidP="00435BC1">
            <w:pPr>
              <w:jc w:val="center"/>
            </w:pPr>
          </w:p>
        </w:tc>
        <w:tc>
          <w:tcPr>
            <w:tcW w:w="494" w:type="dxa"/>
            <w:shd w:val="clear" w:color="auto" w:fill="BFBFBF" w:themeFill="background1" w:themeFillShade="BF"/>
            <w:vAlign w:val="center"/>
          </w:tcPr>
          <w:p w14:paraId="6794F07B" w14:textId="77777777" w:rsidR="00A94604" w:rsidRDefault="00A94604" w:rsidP="00435BC1">
            <w:pPr>
              <w:jc w:val="center"/>
            </w:pPr>
          </w:p>
        </w:tc>
        <w:tc>
          <w:tcPr>
            <w:tcW w:w="494" w:type="dxa"/>
            <w:shd w:val="clear" w:color="auto" w:fill="BFBFBF" w:themeFill="background1" w:themeFillShade="BF"/>
            <w:vAlign w:val="center"/>
          </w:tcPr>
          <w:p w14:paraId="57DA851C" w14:textId="77777777" w:rsidR="00A94604" w:rsidRDefault="00A94604" w:rsidP="00435BC1">
            <w:pPr>
              <w:jc w:val="center"/>
            </w:pPr>
          </w:p>
        </w:tc>
        <w:tc>
          <w:tcPr>
            <w:tcW w:w="494" w:type="dxa"/>
            <w:vAlign w:val="center"/>
          </w:tcPr>
          <w:p w14:paraId="7531689F" w14:textId="77777777" w:rsidR="00A94604" w:rsidRDefault="00A94604" w:rsidP="00435BC1">
            <w:pPr>
              <w:jc w:val="center"/>
            </w:pPr>
          </w:p>
        </w:tc>
        <w:tc>
          <w:tcPr>
            <w:tcW w:w="494" w:type="dxa"/>
            <w:vAlign w:val="center"/>
          </w:tcPr>
          <w:p w14:paraId="038799B8" w14:textId="77777777" w:rsidR="00A94604" w:rsidRDefault="00A94604" w:rsidP="00435BC1">
            <w:pPr>
              <w:jc w:val="center"/>
            </w:pPr>
          </w:p>
        </w:tc>
      </w:tr>
      <w:tr w:rsidR="00A94604" w14:paraId="1B55EA6C" w14:textId="77777777" w:rsidTr="005514DA">
        <w:tc>
          <w:tcPr>
            <w:tcW w:w="2014" w:type="dxa"/>
            <w:vMerge/>
            <w:vAlign w:val="center"/>
          </w:tcPr>
          <w:p w14:paraId="7D7ED3F4" w14:textId="77777777" w:rsidR="00A94604" w:rsidRDefault="00A94604" w:rsidP="0031477E"/>
        </w:tc>
        <w:tc>
          <w:tcPr>
            <w:tcW w:w="2039" w:type="dxa"/>
            <w:vAlign w:val="center"/>
          </w:tcPr>
          <w:p w14:paraId="0596433C" w14:textId="77777777" w:rsidR="00A94604" w:rsidRDefault="00A94604" w:rsidP="0031477E">
            <w:r w:rsidRPr="00337161">
              <w:t>Database with customer reviewing</w:t>
            </w:r>
          </w:p>
        </w:tc>
        <w:tc>
          <w:tcPr>
            <w:tcW w:w="1506" w:type="dxa"/>
            <w:vAlign w:val="center"/>
          </w:tcPr>
          <w:p w14:paraId="709E178E" w14:textId="77777777" w:rsidR="00A94604" w:rsidRDefault="00A94604" w:rsidP="0031477E">
            <w:r>
              <w:t xml:space="preserve">SLTDA </w:t>
            </w:r>
          </w:p>
        </w:tc>
        <w:tc>
          <w:tcPr>
            <w:tcW w:w="494" w:type="dxa"/>
            <w:vAlign w:val="center"/>
          </w:tcPr>
          <w:p w14:paraId="7BFA9CB7" w14:textId="77777777" w:rsidR="00A94604" w:rsidRDefault="00A94604" w:rsidP="00435BC1">
            <w:pPr>
              <w:jc w:val="center"/>
            </w:pPr>
          </w:p>
        </w:tc>
        <w:tc>
          <w:tcPr>
            <w:tcW w:w="494" w:type="dxa"/>
            <w:vAlign w:val="center"/>
          </w:tcPr>
          <w:p w14:paraId="585B1BAE" w14:textId="77777777" w:rsidR="00A94604" w:rsidRDefault="00A94604" w:rsidP="00435BC1">
            <w:pPr>
              <w:jc w:val="center"/>
            </w:pPr>
          </w:p>
        </w:tc>
        <w:tc>
          <w:tcPr>
            <w:tcW w:w="494" w:type="dxa"/>
            <w:vAlign w:val="center"/>
          </w:tcPr>
          <w:p w14:paraId="3A41BE26" w14:textId="77777777" w:rsidR="00A94604" w:rsidRDefault="00A94604" w:rsidP="00435BC1">
            <w:pPr>
              <w:jc w:val="center"/>
            </w:pPr>
          </w:p>
        </w:tc>
        <w:tc>
          <w:tcPr>
            <w:tcW w:w="494" w:type="dxa"/>
            <w:shd w:val="clear" w:color="auto" w:fill="BFBFBF" w:themeFill="background1" w:themeFillShade="BF"/>
            <w:vAlign w:val="center"/>
          </w:tcPr>
          <w:p w14:paraId="07288CC7" w14:textId="77777777" w:rsidR="00A94604" w:rsidRDefault="00A94604" w:rsidP="00435BC1">
            <w:pPr>
              <w:jc w:val="center"/>
            </w:pPr>
          </w:p>
        </w:tc>
        <w:tc>
          <w:tcPr>
            <w:tcW w:w="494" w:type="dxa"/>
            <w:shd w:val="clear" w:color="auto" w:fill="BFBFBF" w:themeFill="background1" w:themeFillShade="BF"/>
            <w:vAlign w:val="center"/>
          </w:tcPr>
          <w:p w14:paraId="39AD6105" w14:textId="77777777" w:rsidR="00A94604" w:rsidRDefault="00A94604" w:rsidP="00435BC1">
            <w:pPr>
              <w:jc w:val="center"/>
            </w:pPr>
          </w:p>
        </w:tc>
        <w:tc>
          <w:tcPr>
            <w:tcW w:w="494" w:type="dxa"/>
            <w:vAlign w:val="center"/>
          </w:tcPr>
          <w:p w14:paraId="4B6FD588" w14:textId="77777777" w:rsidR="00A94604" w:rsidRDefault="00A94604" w:rsidP="00435BC1">
            <w:pPr>
              <w:jc w:val="center"/>
            </w:pPr>
          </w:p>
        </w:tc>
        <w:tc>
          <w:tcPr>
            <w:tcW w:w="494" w:type="dxa"/>
            <w:vAlign w:val="center"/>
          </w:tcPr>
          <w:p w14:paraId="1C5F9EA5" w14:textId="77777777" w:rsidR="00A94604" w:rsidRDefault="00A94604" w:rsidP="00435BC1">
            <w:pPr>
              <w:jc w:val="center"/>
            </w:pPr>
          </w:p>
        </w:tc>
      </w:tr>
      <w:tr w:rsidR="00A94604" w14:paraId="5104BB26" w14:textId="77777777" w:rsidTr="005514DA">
        <w:tc>
          <w:tcPr>
            <w:tcW w:w="2014" w:type="dxa"/>
            <w:vMerge/>
            <w:vAlign w:val="center"/>
          </w:tcPr>
          <w:p w14:paraId="4A0EF9D7" w14:textId="77777777" w:rsidR="00A94604" w:rsidRDefault="00A94604" w:rsidP="0031477E"/>
        </w:tc>
        <w:tc>
          <w:tcPr>
            <w:tcW w:w="2039" w:type="dxa"/>
            <w:vAlign w:val="center"/>
          </w:tcPr>
          <w:p w14:paraId="3B938752" w14:textId="465F3AD3" w:rsidR="00A94604" w:rsidRDefault="00A94604" w:rsidP="0031477E">
            <w:r>
              <w:t xml:space="preserve">Monitoring and evaluation </w:t>
            </w:r>
            <w:r w:rsidR="003B0BC5">
              <w:t xml:space="preserve">including biodiversity impacts </w:t>
            </w:r>
            <w:r>
              <w:t>by authorities</w:t>
            </w:r>
          </w:p>
        </w:tc>
        <w:tc>
          <w:tcPr>
            <w:tcW w:w="1506" w:type="dxa"/>
            <w:vAlign w:val="center"/>
          </w:tcPr>
          <w:p w14:paraId="25BB22F1" w14:textId="77777777" w:rsidR="00A94604" w:rsidRDefault="00A94604" w:rsidP="0031477E">
            <w:r>
              <w:t>SLTDA</w:t>
            </w:r>
          </w:p>
        </w:tc>
        <w:tc>
          <w:tcPr>
            <w:tcW w:w="494" w:type="dxa"/>
            <w:vAlign w:val="center"/>
          </w:tcPr>
          <w:p w14:paraId="17383C56" w14:textId="77777777" w:rsidR="00A94604" w:rsidRDefault="00A94604" w:rsidP="00435BC1">
            <w:pPr>
              <w:jc w:val="center"/>
            </w:pPr>
          </w:p>
        </w:tc>
        <w:tc>
          <w:tcPr>
            <w:tcW w:w="494" w:type="dxa"/>
            <w:vAlign w:val="center"/>
          </w:tcPr>
          <w:p w14:paraId="636F7F57" w14:textId="77777777" w:rsidR="00A94604" w:rsidRDefault="00A94604" w:rsidP="00435BC1">
            <w:pPr>
              <w:jc w:val="center"/>
            </w:pPr>
          </w:p>
        </w:tc>
        <w:tc>
          <w:tcPr>
            <w:tcW w:w="494" w:type="dxa"/>
            <w:vAlign w:val="center"/>
          </w:tcPr>
          <w:p w14:paraId="47750D1D" w14:textId="77777777" w:rsidR="00A94604" w:rsidRDefault="00A94604" w:rsidP="00435BC1">
            <w:pPr>
              <w:jc w:val="center"/>
            </w:pPr>
          </w:p>
        </w:tc>
        <w:tc>
          <w:tcPr>
            <w:tcW w:w="494" w:type="dxa"/>
            <w:vAlign w:val="center"/>
          </w:tcPr>
          <w:p w14:paraId="7084E993" w14:textId="77777777" w:rsidR="00A94604" w:rsidRDefault="00A94604" w:rsidP="00435BC1">
            <w:pPr>
              <w:jc w:val="center"/>
            </w:pPr>
          </w:p>
        </w:tc>
        <w:tc>
          <w:tcPr>
            <w:tcW w:w="494" w:type="dxa"/>
            <w:shd w:val="clear" w:color="auto" w:fill="BFBFBF" w:themeFill="background1" w:themeFillShade="BF"/>
            <w:vAlign w:val="center"/>
          </w:tcPr>
          <w:p w14:paraId="360196A7" w14:textId="77777777" w:rsidR="00A94604" w:rsidRDefault="00A94604" w:rsidP="00435BC1">
            <w:pPr>
              <w:jc w:val="center"/>
            </w:pPr>
          </w:p>
        </w:tc>
        <w:tc>
          <w:tcPr>
            <w:tcW w:w="494" w:type="dxa"/>
            <w:vAlign w:val="center"/>
          </w:tcPr>
          <w:p w14:paraId="75FD4E05" w14:textId="77777777" w:rsidR="00A94604" w:rsidRDefault="00A94604" w:rsidP="00435BC1">
            <w:pPr>
              <w:jc w:val="center"/>
            </w:pPr>
          </w:p>
        </w:tc>
        <w:tc>
          <w:tcPr>
            <w:tcW w:w="494" w:type="dxa"/>
            <w:vAlign w:val="center"/>
          </w:tcPr>
          <w:p w14:paraId="11A70F5A" w14:textId="77777777" w:rsidR="00A94604" w:rsidRDefault="00A94604" w:rsidP="00435BC1">
            <w:pPr>
              <w:jc w:val="center"/>
            </w:pPr>
          </w:p>
        </w:tc>
      </w:tr>
      <w:tr w:rsidR="00CA7D8C" w14:paraId="37670C58" w14:textId="77777777" w:rsidTr="00CA7D8C">
        <w:tc>
          <w:tcPr>
            <w:tcW w:w="2014" w:type="dxa"/>
            <w:vAlign w:val="center"/>
          </w:tcPr>
          <w:p w14:paraId="3D8C7746" w14:textId="77777777" w:rsidR="00CA7D8C" w:rsidRDefault="00CA7D8C" w:rsidP="0031477E">
            <w:r>
              <w:t>Budget</w:t>
            </w:r>
          </w:p>
        </w:tc>
        <w:tc>
          <w:tcPr>
            <w:tcW w:w="7003" w:type="dxa"/>
            <w:gridSpan w:val="9"/>
            <w:vAlign w:val="center"/>
          </w:tcPr>
          <w:p w14:paraId="50C8836F" w14:textId="77777777" w:rsidR="00CA7D8C" w:rsidRDefault="00CA7D8C" w:rsidP="00CA7D8C">
            <w:r>
              <w:t>US$ 200,000</w:t>
            </w:r>
          </w:p>
        </w:tc>
      </w:tr>
      <w:tr w:rsidR="00CA7D8C" w14:paraId="63444B68" w14:textId="77777777" w:rsidTr="00CA7D8C">
        <w:tc>
          <w:tcPr>
            <w:tcW w:w="2014" w:type="dxa"/>
            <w:vAlign w:val="center"/>
          </w:tcPr>
          <w:p w14:paraId="07516FB4" w14:textId="77777777" w:rsidR="00CA7D8C" w:rsidRDefault="00CA7D8C" w:rsidP="0031477E">
            <w:r>
              <w:t>Financial results</w:t>
            </w:r>
          </w:p>
        </w:tc>
        <w:tc>
          <w:tcPr>
            <w:tcW w:w="7003" w:type="dxa"/>
            <w:gridSpan w:val="9"/>
            <w:vAlign w:val="center"/>
          </w:tcPr>
          <w:p w14:paraId="09A6E8F9" w14:textId="3EF7D128" w:rsidR="00CA7D8C" w:rsidRDefault="00860E25" w:rsidP="00CA7D8C">
            <w:r>
              <w:t>US$ 29 million additional investment during the plan period 2018-2024</w:t>
            </w:r>
          </w:p>
        </w:tc>
      </w:tr>
      <w:tr w:rsidR="00CA7D8C" w14:paraId="54BC3DD9" w14:textId="77777777" w:rsidTr="00CA7D8C">
        <w:tc>
          <w:tcPr>
            <w:tcW w:w="2014" w:type="dxa"/>
            <w:vAlign w:val="center"/>
          </w:tcPr>
          <w:p w14:paraId="4E0DC267" w14:textId="77777777" w:rsidR="00CA7D8C" w:rsidRDefault="00CA7D8C" w:rsidP="0031477E">
            <w:r>
              <w:t>Note</w:t>
            </w:r>
          </w:p>
        </w:tc>
        <w:tc>
          <w:tcPr>
            <w:tcW w:w="7003" w:type="dxa"/>
            <w:gridSpan w:val="9"/>
            <w:vAlign w:val="center"/>
          </w:tcPr>
          <w:p w14:paraId="00E7B94C" w14:textId="77777777" w:rsidR="00CA7D8C" w:rsidRDefault="00CA7D8C" w:rsidP="00CA7D8C">
            <w:proofErr w:type="gramStart"/>
            <w:r>
              <w:t>PCs :</w:t>
            </w:r>
            <w:proofErr w:type="gramEnd"/>
            <w:r>
              <w:t xml:space="preserve"> Provincial Councils</w:t>
            </w:r>
          </w:p>
        </w:tc>
      </w:tr>
    </w:tbl>
    <w:p w14:paraId="549D923C" w14:textId="77777777" w:rsidR="00EA22EB" w:rsidRDefault="00EA22EB" w:rsidP="00BB5D98">
      <w:pPr>
        <w:jc w:val="both"/>
      </w:pPr>
    </w:p>
    <w:p w14:paraId="3BD26F1F" w14:textId="77777777" w:rsidR="00470DAA" w:rsidRDefault="00470DAA" w:rsidP="00BB5D98">
      <w:pPr>
        <w:jc w:val="both"/>
      </w:pPr>
    </w:p>
    <w:bookmarkEnd w:id="20"/>
    <w:p w14:paraId="66822DB7" w14:textId="77777777" w:rsidR="00EA22EB" w:rsidRPr="00A212BE" w:rsidRDefault="00E66B19" w:rsidP="008D23E4">
      <w:pPr>
        <w:pStyle w:val="Heading4"/>
      </w:pPr>
      <w:r w:rsidRPr="00A212BE">
        <w:t>9</w:t>
      </w:r>
      <w:r w:rsidR="00587F16" w:rsidRPr="00A212BE">
        <w:t>A</w:t>
      </w:r>
      <w:r w:rsidRPr="00A212BE">
        <w:t>. Conservation license plates</w:t>
      </w:r>
      <w:r w:rsidR="007131E4" w:rsidRPr="00A212BE">
        <w:t xml:space="preserve">: </w:t>
      </w:r>
      <w:r w:rsidR="006B46F6" w:rsidRPr="00A212BE">
        <w:t>Green license plates for motor vehicles</w:t>
      </w:r>
    </w:p>
    <w:p w14:paraId="2B20B7D3" w14:textId="082EA924" w:rsidR="0097579B" w:rsidRPr="00815124" w:rsidRDefault="002B2D0F" w:rsidP="00BB5D98">
      <w:pPr>
        <w:jc w:val="both"/>
        <w:rPr>
          <w:strike/>
        </w:rPr>
      </w:pPr>
      <w:r>
        <w:t xml:space="preserve">The finance solution is to introduce a voluntary </w:t>
      </w:r>
      <w:r w:rsidRPr="002B2D0F">
        <w:t xml:space="preserve">motor vehicle license plates for </w:t>
      </w:r>
      <w:r>
        <w:t>mobilizing finances for the purpose of biodiversity conservation.</w:t>
      </w:r>
      <w:r w:rsidR="000209E8">
        <w:t xml:space="preserve"> </w:t>
      </w:r>
    </w:p>
    <w:p w14:paraId="2138D42C" w14:textId="77777777" w:rsidR="00A94604" w:rsidRDefault="00A94604" w:rsidP="00BB5D98">
      <w:pPr>
        <w:jc w:val="both"/>
      </w:pPr>
      <w:r>
        <w:t>Objective</w:t>
      </w:r>
    </w:p>
    <w:p w14:paraId="1C307082" w14:textId="3FBD622A" w:rsidR="00A94604" w:rsidRDefault="00A94604" w:rsidP="00BB5D98">
      <w:pPr>
        <w:jc w:val="both"/>
      </w:pPr>
      <w:r>
        <w:t>To mobilize funds for i</w:t>
      </w:r>
      <w:r w:rsidR="008A6BD8">
        <w:t xml:space="preserve">nvesting in biodiversity and to promote social recognition of caring environment </w:t>
      </w:r>
      <w:r w:rsidR="00C61615">
        <w:t>through the issuance of sp</w:t>
      </w:r>
      <w:r w:rsidR="00815124">
        <w:t>ecial license plates.</w:t>
      </w:r>
    </w:p>
    <w:p w14:paraId="0958DA83" w14:textId="77777777" w:rsidR="002B2D0F" w:rsidRDefault="00194680" w:rsidP="00BB5D98">
      <w:pPr>
        <w:jc w:val="both"/>
      </w:pPr>
      <w:r>
        <w:t>Description</w:t>
      </w:r>
    </w:p>
    <w:p w14:paraId="0BFF1C78" w14:textId="5831E39C" w:rsidR="005F42EF" w:rsidRDefault="00611952" w:rsidP="00BB5D98">
      <w:pPr>
        <w:jc w:val="both"/>
      </w:pPr>
      <w:r w:rsidRPr="00611952">
        <w:t xml:space="preserve">Specially branded vehicle license plates </w:t>
      </w:r>
      <w:r>
        <w:t xml:space="preserve">- green license plates, </w:t>
      </w:r>
      <w:r w:rsidRPr="00611952">
        <w:t>can be sold at an extra premium above their normal fees to the users</w:t>
      </w:r>
      <w:r>
        <w:t xml:space="preserve"> at the point of registering the vehicles</w:t>
      </w:r>
      <w:r w:rsidRPr="00611952">
        <w:t xml:space="preserve">. </w:t>
      </w:r>
      <w:r w:rsidR="00E71AF3">
        <w:t xml:space="preserve"> </w:t>
      </w:r>
      <w:r w:rsidR="009A6FB0">
        <w:t xml:space="preserve">USA and Canada are two countries which have adopted green license plate schemes as a strategy to protect environment as well as to promote cleaner vehicles. In addition, Malaysia and Thailand are two countries in Asia which attempt to move into issuing green license plates. </w:t>
      </w:r>
    </w:p>
    <w:p w14:paraId="52670955" w14:textId="13DF6948" w:rsidR="005F42EF" w:rsidRDefault="005F42EF" w:rsidP="00BB5D98">
      <w:pPr>
        <w:jc w:val="both"/>
      </w:pPr>
      <w:r>
        <w:t>Green license plates can be provided as an option to vehicle owners in Sri Lanka in order to</w:t>
      </w:r>
      <w:r w:rsidR="00611952" w:rsidRPr="00611952">
        <w:t xml:space="preserve"> generate finances for conservation purposes</w:t>
      </w:r>
      <w:r w:rsidR="003E52F0">
        <w:t xml:space="preserve">. These license plates also </w:t>
      </w:r>
      <w:r>
        <w:t xml:space="preserve">allow the vehicle owners to </w:t>
      </w:r>
      <w:r w:rsidR="003E52F0">
        <w:t>show</w:t>
      </w:r>
      <w:r>
        <w:t xml:space="preserve"> their commitment to environment</w:t>
      </w:r>
      <w:r w:rsidR="003E52F0">
        <w:t xml:space="preserve"> and, thereby make a positive impact on the society raising awareness and strengthening concern over </w:t>
      </w:r>
      <w:r w:rsidR="00335D85">
        <w:t xml:space="preserve">natural </w:t>
      </w:r>
      <w:r w:rsidR="003E52F0">
        <w:t>environment</w:t>
      </w:r>
      <w:r>
        <w:t>.</w:t>
      </w:r>
      <w:r w:rsidR="00A825DF" w:rsidRPr="00A825DF">
        <w:rPr>
          <w:noProof/>
          <w:lang w:val="en-AU" w:eastAsia="en-AU" w:bidi="si-LK"/>
        </w:rPr>
        <w:t xml:space="preserve"> </w:t>
      </w:r>
    </w:p>
    <w:p w14:paraId="30C3784E" w14:textId="7CD6AF5E" w:rsidR="00F54D91" w:rsidRDefault="00A825DF" w:rsidP="00BB5D98">
      <w:pPr>
        <w:jc w:val="both"/>
      </w:pPr>
      <w:r>
        <w:rPr>
          <w:noProof/>
          <w:lang w:val="en-AU" w:eastAsia="en-AU" w:bidi="si-LK"/>
        </w:rPr>
        <mc:AlternateContent>
          <mc:Choice Requires="wps">
            <w:drawing>
              <wp:anchor distT="45720" distB="45720" distL="114300" distR="114300" simplePos="0" relativeHeight="251671552" behindDoc="0" locked="0" layoutInCell="1" allowOverlap="1" wp14:anchorId="0DBC71FA" wp14:editId="6B99D671">
                <wp:simplePos x="0" y="0"/>
                <wp:positionH relativeFrom="margin">
                  <wp:align>right</wp:align>
                </wp:positionH>
                <wp:positionV relativeFrom="paragraph">
                  <wp:posOffset>39370</wp:posOffset>
                </wp:positionV>
                <wp:extent cx="2360930" cy="6419850"/>
                <wp:effectExtent l="0" t="0" r="1206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19850"/>
                        </a:xfrm>
                        <a:prstGeom prst="rect">
                          <a:avLst/>
                        </a:prstGeom>
                        <a:solidFill>
                          <a:srgbClr val="FFFFFF"/>
                        </a:solidFill>
                        <a:ln w="9525">
                          <a:solidFill>
                            <a:srgbClr val="000000"/>
                          </a:solidFill>
                          <a:miter lim="800000"/>
                          <a:headEnd/>
                          <a:tailEnd/>
                        </a:ln>
                      </wps:spPr>
                      <wps:txbx>
                        <w:txbxContent>
                          <w:p w14:paraId="2A3E5D29" w14:textId="77777777" w:rsidR="00791098" w:rsidRDefault="00791098" w:rsidP="00A825DF">
                            <w:pPr>
                              <w:jc w:val="center"/>
                              <w:rPr>
                                <w:sz w:val="32"/>
                              </w:rPr>
                            </w:pPr>
                          </w:p>
                          <w:p w14:paraId="3588BC45" w14:textId="77777777" w:rsidR="00791098" w:rsidRPr="00F712FB" w:rsidRDefault="00791098" w:rsidP="00A825DF">
                            <w:pPr>
                              <w:jc w:val="center"/>
                              <w:rPr>
                                <w:sz w:val="32"/>
                              </w:rPr>
                            </w:pPr>
                            <w:r w:rsidRPr="00F712FB">
                              <w:rPr>
                                <w:sz w:val="32"/>
                              </w:rPr>
                              <w:t>G</w:t>
                            </w:r>
                            <w:r>
                              <w:rPr>
                                <w:sz w:val="32"/>
                              </w:rPr>
                              <w:t>REEN LICENS</w:t>
                            </w:r>
                            <w:r w:rsidRPr="00F712FB">
                              <w:rPr>
                                <w:sz w:val="32"/>
                              </w:rPr>
                              <w:t>E PLATES IN CANADA</w:t>
                            </w:r>
                          </w:p>
                          <w:p w14:paraId="59AB7CC1" w14:textId="77777777" w:rsidR="00791098" w:rsidRDefault="00791098" w:rsidP="00A825DF">
                            <w:pPr>
                              <w:jc w:val="both"/>
                            </w:pPr>
                            <w:r>
                              <w:t>Green license plate</w:t>
                            </w:r>
                            <w:r w:rsidRPr="00E71AF3">
                              <w:t xml:space="preserve"> is a sign of commitment to cleaner environment</w:t>
                            </w:r>
                            <w:r>
                              <w:t xml:space="preserve"> by vehicle owners in Canada.</w:t>
                            </w:r>
                            <w:r w:rsidRPr="00E71AF3">
                              <w:t xml:space="preserve"> </w:t>
                            </w:r>
                            <w:r>
                              <w:t>I</w:t>
                            </w:r>
                            <w:r w:rsidRPr="00F712FB">
                              <w:t xml:space="preserve">ndividuals, businesses and fleets are all eligible for </w:t>
                            </w:r>
                            <w:r>
                              <w:t>optional green license plates, but not all vehicles are eligible to fix them. The vehicles which carry a green license plates are also entitled for certain privileges on roads.</w:t>
                            </w:r>
                          </w:p>
                          <w:p w14:paraId="22DDE237" w14:textId="77777777" w:rsidR="00791098" w:rsidRDefault="00791098" w:rsidP="00A825DF">
                            <w:pPr>
                              <w:jc w:val="center"/>
                            </w:pPr>
                            <w:r w:rsidRPr="008D11C0">
                              <w:rPr>
                                <w:noProof/>
                                <w:lang w:val="en-AU" w:eastAsia="en-AU" w:bidi="si-LK"/>
                              </w:rPr>
                              <w:drawing>
                                <wp:inline distT="0" distB="0" distL="0" distR="0" wp14:anchorId="353C1340" wp14:editId="5CBB4BB9">
                                  <wp:extent cx="1666875" cy="2857500"/>
                                  <wp:effectExtent l="0" t="0" r="9525" b="0"/>
                                  <wp:docPr id="8" name="Picture 8" descr="C:\Users\USER\Pictures\hov-green-plate-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hov-green-plate-arro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6875" cy="2857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BC71FA" id="_x0000_s1030" type="#_x0000_t202" style="position:absolute;left:0;text-align:left;margin-left:134.7pt;margin-top:3.1pt;width:185.9pt;height:505.5pt;z-index:25167155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CPJwIAAEw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cEsM0&#10;SvQk+kDeQU8mkZ3O+gKDHi2GhR6PUeVUqbcPwL97YmDTMrMTd85B1wpWY3bjeDO7ujrg+AhSdZ+g&#10;xmfYPkAC6hunI3VIBkF0VOl4USamwvFwcjPPlzfo4uibT8fLxSxpl7HifN06Hz4I0CRuSupQ+gTP&#10;Dg8+xHRYcQ6Jr3lQst5KpZLhdtVGOXJg2Cbb9KUKXoQpQ7qSLmeT2cDAXyHy9P0JQsuA/a6kLuni&#10;EsSKyNt7U6duDEyqYY8pK3MiMnI3sBj6qk+KTc/6VFAfkVkHQ3vjOOKmBfeTkg5bu6T+x545QYn6&#10;aFCd5Xg6jbOQjOns7QQNd+2prj3McIQqaaBk2G5Cmp/Im4E7VLGRid8o95DJKWVs2UT7abziTFzb&#10;KerXT2D9DAAA//8DAFBLAwQUAAYACAAAACEAU/OmP+EAAAAMAQAADwAAAGRycy9kb3ducmV2Lnht&#10;bEyPQW/CMAyF75P4D5GRdhtpOw2m0hRNTFy4rUMbx9B4TaFxqiZA+ffzTuNiyXrPz+8rVqPrxAWH&#10;0HpSkM4SEEi1Ny01Cnafm6dXECFqMrrzhApuGGBVTh4KnRt/pQ+8VLERHEIh1wpsjH0uZagtOh1m&#10;vkdi7ccPTkdeh0aaQV853HUyS5K5dLol/mB1j2uL9ak6OwXhlG5evv1xZ/fbm62O+/ar3a6VepyO&#10;70seb0sQEcf4fwF/DNwfSi528GcyQXQKmCYqmGcgWHxepAxzYFeSLjKQZSHvIcpfAAAA//8DAFBL&#10;AQItABQABgAIAAAAIQC2gziS/gAAAOEBAAATAAAAAAAAAAAAAAAAAAAAAABbQ29udGVudF9UeXBl&#10;c10ueG1sUEsBAi0AFAAGAAgAAAAhADj9If/WAAAAlAEAAAsAAAAAAAAAAAAAAAAALwEAAF9yZWxz&#10;Ly5yZWxzUEsBAi0AFAAGAAgAAAAhAKGQcI8nAgAATAQAAA4AAAAAAAAAAAAAAAAALgIAAGRycy9l&#10;Mm9Eb2MueG1sUEsBAi0AFAAGAAgAAAAhAFPzpj/hAAAADAEAAA8AAAAAAAAAAAAAAAAAgQQAAGRy&#10;cy9kb3ducmV2LnhtbFBLBQYAAAAABAAEAPMAAACPBQAAAAA=&#10;">
                <v:textbox>
                  <w:txbxContent>
                    <w:p w14:paraId="2A3E5D29" w14:textId="77777777" w:rsidR="00791098" w:rsidRDefault="00791098" w:rsidP="00A825DF">
                      <w:pPr>
                        <w:jc w:val="center"/>
                        <w:rPr>
                          <w:sz w:val="32"/>
                        </w:rPr>
                      </w:pPr>
                    </w:p>
                    <w:p w14:paraId="3588BC45" w14:textId="77777777" w:rsidR="00791098" w:rsidRPr="00F712FB" w:rsidRDefault="00791098" w:rsidP="00A825DF">
                      <w:pPr>
                        <w:jc w:val="center"/>
                        <w:rPr>
                          <w:sz w:val="32"/>
                        </w:rPr>
                      </w:pPr>
                      <w:r w:rsidRPr="00F712FB">
                        <w:rPr>
                          <w:sz w:val="32"/>
                        </w:rPr>
                        <w:t>G</w:t>
                      </w:r>
                      <w:r>
                        <w:rPr>
                          <w:sz w:val="32"/>
                        </w:rPr>
                        <w:t>REEN LICENS</w:t>
                      </w:r>
                      <w:r w:rsidRPr="00F712FB">
                        <w:rPr>
                          <w:sz w:val="32"/>
                        </w:rPr>
                        <w:t>E PLATES IN CANADA</w:t>
                      </w:r>
                    </w:p>
                    <w:p w14:paraId="59AB7CC1" w14:textId="77777777" w:rsidR="00791098" w:rsidRDefault="00791098" w:rsidP="00A825DF">
                      <w:pPr>
                        <w:jc w:val="both"/>
                      </w:pPr>
                      <w:r>
                        <w:t>Green license plate</w:t>
                      </w:r>
                      <w:r w:rsidRPr="00E71AF3">
                        <w:t xml:space="preserve"> is a sign of commitment to cleaner environment</w:t>
                      </w:r>
                      <w:r>
                        <w:t xml:space="preserve"> by vehicle owners in Canada.</w:t>
                      </w:r>
                      <w:r w:rsidRPr="00E71AF3">
                        <w:t xml:space="preserve"> </w:t>
                      </w:r>
                      <w:r>
                        <w:t>I</w:t>
                      </w:r>
                      <w:r w:rsidRPr="00F712FB">
                        <w:t xml:space="preserve">ndividuals, businesses and fleets are all eligible for </w:t>
                      </w:r>
                      <w:r>
                        <w:t>optional green license plates, but not all vehicles are eligible to fix them. The vehicles which carry a green license plates are also entitled for certain privileges on roads.</w:t>
                      </w:r>
                    </w:p>
                    <w:p w14:paraId="22DDE237" w14:textId="77777777" w:rsidR="00791098" w:rsidRDefault="00791098" w:rsidP="00A825DF">
                      <w:pPr>
                        <w:jc w:val="center"/>
                      </w:pPr>
                      <w:r w:rsidRPr="008D11C0">
                        <w:rPr>
                          <w:noProof/>
                          <w:lang w:val="en-AU" w:eastAsia="en-AU" w:bidi="si-LK"/>
                        </w:rPr>
                        <w:drawing>
                          <wp:inline distT="0" distB="0" distL="0" distR="0" wp14:anchorId="353C1340" wp14:editId="5CBB4BB9">
                            <wp:extent cx="1666875" cy="2857500"/>
                            <wp:effectExtent l="0" t="0" r="9525" b="0"/>
                            <wp:docPr id="8" name="Picture 8" descr="C:\Users\USER\Pictures\hov-green-plate-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hov-green-plate-arro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6875" cy="2857500"/>
                                    </a:xfrm>
                                    <a:prstGeom prst="rect">
                                      <a:avLst/>
                                    </a:prstGeom>
                                    <a:noFill/>
                                    <a:ln>
                                      <a:noFill/>
                                    </a:ln>
                                  </pic:spPr>
                                </pic:pic>
                              </a:graphicData>
                            </a:graphic>
                          </wp:inline>
                        </w:drawing>
                      </w:r>
                    </w:p>
                  </w:txbxContent>
                </v:textbox>
                <w10:wrap type="square" anchorx="margin"/>
              </v:shape>
            </w:pict>
          </mc:Fallback>
        </mc:AlternateContent>
      </w:r>
      <w:r w:rsidR="005F42EF">
        <w:t>The proposed finance solution</w:t>
      </w:r>
      <w:r w:rsidR="00611952">
        <w:t xml:space="preserve"> is two-fold as to introduce the green license plates for the registered vehicle fleet, and for the new vehicles registered annually.</w:t>
      </w:r>
      <w:r w:rsidR="00806FD3">
        <w:t xml:space="preserve"> </w:t>
      </w:r>
    </w:p>
    <w:p w14:paraId="55EB2253" w14:textId="78736FD0" w:rsidR="00194680" w:rsidRDefault="00BC733F" w:rsidP="00BB5D98">
      <w:pPr>
        <w:jc w:val="both"/>
      </w:pPr>
      <w:r>
        <w:t>There are 7.25 million registered vehicles in Sri Lanka</w:t>
      </w:r>
      <w:r w:rsidR="005A016A">
        <w:t xml:space="preserve"> including motor cycles and three wheelers, </w:t>
      </w:r>
      <w:r w:rsidR="00821836">
        <w:t xml:space="preserve">while </w:t>
      </w:r>
      <w:r w:rsidR="005A016A">
        <w:t>approximately 450,0</w:t>
      </w:r>
      <w:r w:rsidR="003819F4">
        <w:t>0</w:t>
      </w:r>
      <w:r w:rsidR="005A016A">
        <w:t xml:space="preserve">0 - 600,000 </w:t>
      </w:r>
      <w:r w:rsidR="009C1A84">
        <w:t xml:space="preserve">new vehicles </w:t>
      </w:r>
      <w:r w:rsidR="005A016A">
        <w:t>have been registered annually</w:t>
      </w:r>
      <w:r w:rsidR="00F54D91">
        <w:t xml:space="preserve"> during the period 2014-2017</w:t>
      </w:r>
      <w:r w:rsidR="005A016A">
        <w:t xml:space="preserve">. </w:t>
      </w:r>
    </w:p>
    <w:p w14:paraId="3890A9C3" w14:textId="1E96C9CC" w:rsidR="007131E4" w:rsidRDefault="00E80C6A" w:rsidP="00E80C6A">
      <w:pPr>
        <w:jc w:val="both"/>
      </w:pPr>
      <w:r>
        <w:t xml:space="preserve">In Sri Lanka this has not been tested or practiced so far. Therefore, </w:t>
      </w:r>
      <w:r w:rsidR="00806FD3">
        <w:t>it</w:t>
      </w:r>
      <w:r>
        <w:t xml:space="preserve"> require</w:t>
      </w:r>
      <w:r w:rsidR="00806FD3">
        <w:t>s an investigation into existing policies, regulations and, institutions as well as a preliminary study</w:t>
      </w:r>
      <w:r>
        <w:t xml:space="preserve"> </w:t>
      </w:r>
      <w:r w:rsidR="00806FD3">
        <w:t xml:space="preserve">of the successful implementation of the </w:t>
      </w:r>
      <w:r>
        <w:t>proposed initiative</w:t>
      </w:r>
      <w:r w:rsidR="00806FD3">
        <w:t xml:space="preserve">. </w:t>
      </w:r>
      <w:r>
        <w:t xml:space="preserve">The marketing strategies, pricing options, appropriate communications strategies must be explored further to design such a </w:t>
      </w:r>
      <w:proofErr w:type="spellStart"/>
      <w:r>
        <w:t>programme</w:t>
      </w:r>
      <w:proofErr w:type="spellEnd"/>
      <w:r>
        <w:t xml:space="preserve">. It is proposed to carry out a detailed feasibility study to understand the potential and process to develop a mechanism to generate finances towards </w:t>
      </w:r>
      <w:r w:rsidR="00D217DC">
        <w:t xml:space="preserve">biodiversity </w:t>
      </w:r>
      <w:r>
        <w:t>conservation</w:t>
      </w:r>
      <w:r w:rsidR="00D217DC">
        <w:t xml:space="preserve"> and sustainable management </w:t>
      </w:r>
      <w:r>
        <w:t>processes in Sri Lanka</w:t>
      </w:r>
      <w:r w:rsidR="00A04284">
        <w:t xml:space="preserve">. </w:t>
      </w:r>
      <w:r w:rsidR="00961EA8">
        <w:t xml:space="preserve">Fund utilization needs to be based the allocation mechanisms managed under the purview of the </w:t>
      </w:r>
      <w:r w:rsidR="00BC4BB9">
        <w:t xml:space="preserve">key ministries: </w:t>
      </w:r>
      <w:proofErr w:type="gramStart"/>
      <w:r w:rsidR="00BC4BB9">
        <w:t>the</w:t>
      </w:r>
      <w:proofErr w:type="gramEnd"/>
      <w:r w:rsidR="00BC4BB9">
        <w:t xml:space="preserve"> Ministry of Finance and the </w:t>
      </w:r>
      <w:r w:rsidR="00961EA8">
        <w:t>Ministry of Mahaweli Development and Environment.</w:t>
      </w:r>
    </w:p>
    <w:p w14:paraId="20CD6EFD" w14:textId="1046DA78" w:rsidR="00525E05" w:rsidRDefault="00525E05" w:rsidP="00E80C6A">
      <w:pPr>
        <w:jc w:val="both"/>
      </w:pPr>
      <w:r>
        <w:t>Business case</w:t>
      </w:r>
    </w:p>
    <w:p w14:paraId="0427AEE3" w14:textId="48514E8C" w:rsidR="00525E05" w:rsidRDefault="00525E05" w:rsidP="00E80C6A">
      <w:pPr>
        <w:jc w:val="both"/>
      </w:pPr>
      <w:r>
        <w:t>The proposal supplement</w:t>
      </w:r>
      <w:r w:rsidR="00955967">
        <w:t>s</w:t>
      </w:r>
      <w:r>
        <w:t xml:space="preserve"> the government spending over biodiversity conservation which has been subject to the narrow fiscal space of the government. </w:t>
      </w:r>
      <w:r w:rsidR="0026221D">
        <w:t xml:space="preserve"> Besides, a significant share of vehicle owners </w:t>
      </w:r>
      <w:proofErr w:type="gramStart"/>
      <w:r w:rsidR="0026221D">
        <w:t>belong</w:t>
      </w:r>
      <w:proofErr w:type="gramEnd"/>
      <w:r w:rsidR="0026221D">
        <w:t xml:space="preserve"> to a social group which is knowledgeable and concerned about the environment. They are expected to </w:t>
      </w:r>
      <w:r w:rsidR="00C61615">
        <w:t xml:space="preserve">dispense </w:t>
      </w:r>
      <w:r w:rsidR="0026221D">
        <w:t>willingly an additional voluntary payment for the purpose of biodiversity conservation.</w:t>
      </w:r>
    </w:p>
    <w:p w14:paraId="40E35EE0" w14:textId="30F28AD6" w:rsidR="00F45D91" w:rsidRDefault="00F45D91" w:rsidP="00277B4C">
      <w:pPr>
        <w:jc w:val="both"/>
      </w:pPr>
      <w:r>
        <w:t>The proposal, being a general solution for finance mobilization, does not have</w:t>
      </w:r>
      <w:r w:rsidR="00C61615">
        <w:t xml:space="preserve"> </w:t>
      </w:r>
      <w:r>
        <w:t xml:space="preserve">specific restrictions to </w:t>
      </w:r>
      <w:proofErr w:type="gramStart"/>
      <w:r>
        <w:t>particular biodiversity</w:t>
      </w:r>
      <w:proofErr w:type="gramEnd"/>
      <w:r>
        <w:t xml:space="preserve"> projects. Rather the fund can be utilized by various agencies that are operating biodiversity projects throughout the country. Therefore, the fund utilization is recommended in line with achieving the NBSAP targets.</w:t>
      </w:r>
      <w:r w:rsidR="00277B4C">
        <w:t xml:space="preserve"> </w:t>
      </w:r>
      <w:proofErr w:type="gramStart"/>
      <w:r w:rsidR="00D26C49">
        <w:t>In particular, it</w:t>
      </w:r>
      <w:proofErr w:type="gramEnd"/>
      <w:r w:rsidR="00D26C49">
        <w:t xml:space="preserve"> is recommended to </w:t>
      </w:r>
      <w:r w:rsidR="00277B4C">
        <w:t xml:space="preserve">cover </w:t>
      </w:r>
      <w:r w:rsidR="00D26C49">
        <w:t xml:space="preserve">national targets of </w:t>
      </w:r>
      <w:r w:rsidR="00277B4C">
        <w:t>reducing loss of species and habitats (Targets 4 and 6)</w:t>
      </w:r>
      <w:r w:rsidR="00D26C49">
        <w:t xml:space="preserve"> and</w:t>
      </w:r>
      <w:r w:rsidR="007243B6">
        <w:t>, e</w:t>
      </w:r>
      <w:r w:rsidR="007243B6" w:rsidRPr="007243B6">
        <w:t>nhancing ecosystems capacity</w:t>
      </w:r>
      <w:r w:rsidR="007243B6">
        <w:t xml:space="preserve"> (Target 11)</w:t>
      </w:r>
      <w:r w:rsidR="00D26C49">
        <w:t xml:space="preserve"> which are among the top prioritized national targets that require 87.8 percent of the estimated biodiversity spending.</w:t>
      </w:r>
    </w:p>
    <w:p w14:paraId="016CFF2E" w14:textId="77777777" w:rsidR="0026221D" w:rsidRDefault="0026221D" w:rsidP="00E80C6A">
      <w:pPr>
        <w:jc w:val="both"/>
      </w:pPr>
      <w:r>
        <w:t>Responsibility</w:t>
      </w:r>
    </w:p>
    <w:p w14:paraId="4D862A7A" w14:textId="19EC1E4B" w:rsidR="0026221D" w:rsidRDefault="00146167" w:rsidP="00E80C6A">
      <w:pPr>
        <w:jc w:val="both"/>
      </w:pPr>
      <w:r>
        <w:t xml:space="preserve">The vehicle registration and the issuing of license plates is the responsibility of the Department of Motor Traffic (DMT) which is under the purview of the Ministry of Transport and Civil Aviation (MTCA). In addition, the Ministry of Finance (MF) needs to be </w:t>
      </w:r>
      <w:r w:rsidR="006F2D82">
        <w:t xml:space="preserve">involved </w:t>
      </w:r>
      <w:r>
        <w:t>in the formulation of the finance solution</w:t>
      </w:r>
      <w:r w:rsidR="006F2D82">
        <w:t xml:space="preserve">, </w:t>
      </w:r>
      <w:r>
        <w:t xml:space="preserve">and </w:t>
      </w:r>
      <w:r w:rsidR="006F2D82">
        <w:t xml:space="preserve">in the utilization </w:t>
      </w:r>
      <w:r>
        <w:t>and maintenance of the fund. The Ministry of Mahaweli Development together with the relevant Departments for biodiversity conservation are responsible for fund utilization and implementation of the related projects.</w:t>
      </w:r>
    </w:p>
    <w:p w14:paraId="29625686" w14:textId="0C8AB1BE" w:rsidR="001E5053" w:rsidRDefault="001E5053" w:rsidP="00E80C6A">
      <w:pPr>
        <w:jc w:val="both"/>
      </w:pPr>
      <w:r>
        <w:t>Financial result</w:t>
      </w:r>
    </w:p>
    <w:p w14:paraId="13EE4845" w14:textId="17E952D9" w:rsidR="00147A6A" w:rsidRDefault="001E5053" w:rsidP="00E80C6A">
      <w:pPr>
        <w:jc w:val="both"/>
      </w:pPr>
      <w:r>
        <w:t xml:space="preserve">The finance solution </w:t>
      </w:r>
      <w:proofErr w:type="gramStart"/>
      <w:r w:rsidR="00C61615">
        <w:t xml:space="preserve">shall </w:t>
      </w:r>
      <w:r>
        <w:t xml:space="preserve"> mobiliz</w:t>
      </w:r>
      <w:r w:rsidR="00C61615">
        <w:t>e</w:t>
      </w:r>
      <w:proofErr w:type="gramEnd"/>
      <w:r w:rsidR="00C61615">
        <w:t xml:space="preserve"> </w:t>
      </w:r>
      <w:r>
        <w:t xml:space="preserve">new finance. It is expected to generate </w:t>
      </w:r>
      <w:r w:rsidR="00147A6A">
        <w:t>US$ 1.4</w:t>
      </w:r>
      <w:r w:rsidRPr="001E5053">
        <w:t xml:space="preserve"> million per annum, assuming 50% of the newly registered vehicles purchase the conservation license plates at a premium LKR 1000 above the normal registration fee</w:t>
      </w:r>
      <w:r w:rsidR="00224A5D">
        <w:t>, which is LKR 3300</w:t>
      </w:r>
      <w:r w:rsidRPr="001E5053">
        <w:t xml:space="preserve">. </w:t>
      </w:r>
      <w:r w:rsidR="00147A6A">
        <w:t xml:space="preserve">For a period of 5 years (2020-2024), the solution is expected to generate US$ 7 million into the biodiversity conservation fund. </w:t>
      </w:r>
    </w:p>
    <w:p w14:paraId="0951F25B" w14:textId="77777777" w:rsidR="00EE6C2F" w:rsidRDefault="001E5053" w:rsidP="00E80C6A">
      <w:pPr>
        <w:jc w:val="both"/>
      </w:pPr>
      <w:r w:rsidRPr="001E5053">
        <w:t>In addition, the finance solution can be extended to the already existing 7.25 million registered vehicles; assuming 10% the total registered vehicles will join the n</w:t>
      </w:r>
      <w:r w:rsidR="00147A6A">
        <w:t>ew scheme, a lump sum of US$ 4</w:t>
      </w:r>
      <w:r w:rsidRPr="001E5053">
        <w:t xml:space="preserve"> million can be raised </w:t>
      </w:r>
      <w:r w:rsidR="00147A6A">
        <w:t xml:space="preserve">from the existing registered vehicles </w:t>
      </w:r>
      <w:r w:rsidRPr="001E5053">
        <w:t xml:space="preserve">into </w:t>
      </w:r>
      <w:r w:rsidR="00147A6A">
        <w:t>the</w:t>
      </w:r>
      <w:r w:rsidRPr="001E5053">
        <w:t xml:space="preserve"> conservation fund.</w:t>
      </w:r>
      <w:r w:rsidR="00147A6A">
        <w:t xml:space="preserve"> </w:t>
      </w:r>
    </w:p>
    <w:p w14:paraId="1DD19696" w14:textId="77BAECF9" w:rsidR="001E5053" w:rsidRDefault="0032677C" w:rsidP="00E80C6A">
      <w:pPr>
        <w:jc w:val="both"/>
      </w:pPr>
      <w:r>
        <w:t>The total finance mobilization from both new registrations and existing registrations is thus estimated to be US$ 11 billion. It should be noted that, h</w:t>
      </w:r>
      <w:r w:rsidR="00147A6A">
        <w:t>owever, the cost of supplying a conservation license plate to a registered vehicle is an additional cost</w:t>
      </w:r>
      <w:r>
        <w:t xml:space="preserve"> to the Department of Motor Traffic</w:t>
      </w:r>
      <w:r w:rsidR="00147A6A">
        <w:t>,</w:t>
      </w:r>
      <w:r>
        <w:t xml:space="preserve"> although it is not the case for registering new vehicles. The additional cost is</w:t>
      </w:r>
      <w:r w:rsidR="00147A6A">
        <w:t xml:space="preserve"> approximately LKR 500 per license plate.</w:t>
      </w:r>
    </w:p>
    <w:p w14:paraId="069AA773" w14:textId="6D1C1ACF" w:rsidR="008A7A84" w:rsidRDefault="008A7A84" w:rsidP="00E80C6A">
      <w:pPr>
        <w:jc w:val="both"/>
      </w:pPr>
      <w:r>
        <w:t xml:space="preserve">In the context of </w:t>
      </w:r>
      <w:r w:rsidR="0032677C">
        <w:t xml:space="preserve">prevailing </w:t>
      </w:r>
      <w:r>
        <w:t>regulatory mechanism governing vehicle registration in Sri Lanka</w:t>
      </w:r>
      <w:r w:rsidR="00CE35BD">
        <w:t xml:space="preserve"> as stipulated in the G</w:t>
      </w:r>
      <w:r w:rsidR="00A163BA">
        <w:t>azette notification o</w:t>
      </w:r>
      <w:r w:rsidR="0032677C">
        <w:t>n</w:t>
      </w:r>
      <w:r w:rsidR="00A163BA">
        <w:t xml:space="preserve"> </w:t>
      </w:r>
      <w:r w:rsidR="00A163BA" w:rsidRPr="00994A2F">
        <w:t>Motor Traffic (Fees) Regulations, 2011</w:t>
      </w:r>
      <w:r>
        <w:t>, th</w:t>
      </w:r>
      <w:r w:rsidR="00A163BA">
        <w:t>e proposed finance solution</w:t>
      </w:r>
      <w:r>
        <w:t xml:space="preserve"> </w:t>
      </w:r>
      <w:r w:rsidR="00A163BA">
        <w:t>is feasible</w:t>
      </w:r>
      <w:r>
        <w:t xml:space="preserve"> and sustainable </w:t>
      </w:r>
      <w:r w:rsidR="00085E47">
        <w:t>subject to specific</w:t>
      </w:r>
      <w:r w:rsidR="00A163BA">
        <w:t xml:space="preserve"> amendments to the notification</w:t>
      </w:r>
      <w:r>
        <w:t>.</w:t>
      </w:r>
      <w:r w:rsidR="00A163BA">
        <w:t xml:space="preserve"> It requires a Cabinet approval</w:t>
      </w:r>
      <w:r>
        <w:t xml:space="preserve"> </w:t>
      </w:r>
      <w:r w:rsidR="0032677C">
        <w:t>for new</w:t>
      </w:r>
      <w:r w:rsidR="00A163BA">
        <w:t xml:space="preserve"> amendments proposed by the Minister of Transport</w:t>
      </w:r>
      <w:r w:rsidR="0032677C">
        <w:t xml:space="preserve"> which need to be </w:t>
      </w:r>
      <w:r w:rsidR="00CE35BD">
        <w:t>published in the G</w:t>
      </w:r>
      <w:r w:rsidR="0032677C">
        <w:t>azette prior to implementation</w:t>
      </w:r>
      <w:r w:rsidR="00A163BA">
        <w:t xml:space="preserve">. </w:t>
      </w:r>
    </w:p>
    <w:p w14:paraId="2F186EF4" w14:textId="77777777" w:rsidR="00146167" w:rsidRDefault="00C95AD0" w:rsidP="00E80C6A">
      <w:pPr>
        <w:jc w:val="both"/>
      </w:pPr>
      <w:r>
        <w:t>Action plan</w:t>
      </w:r>
    </w:p>
    <w:tbl>
      <w:tblPr>
        <w:tblStyle w:val="TableGrid"/>
        <w:tblW w:w="0" w:type="auto"/>
        <w:tblLook w:val="04A0" w:firstRow="1" w:lastRow="0" w:firstColumn="1" w:lastColumn="0" w:noHBand="0" w:noVBand="1"/>
      </w:tblPr>
      <w:tblGrid>
        <w:gridCol w:w="2014"/>
        <w:gridCol w:w="2039"/>
        <w:gridCol w:w="1506"/>
        <w:gridCol w:w="494"/>
        <w:gridCol w:w="494"/>
        <w:gridCol w:w="494"/>
        <w:gridCol w:w="494"/>
        <w:gridCol w:w="494"/>
        <w:gridCol w:w="494"/>
        <w:gridCol w:w="494"/>
      </w:tblGrid>
      <w:tr w:rsidR="00C95AD0" w14:paraId="0D0324F3" w14:textId="77777777" w:rsidTr="00C95AD0">
        <w:tc>
          <w:tcPr>
            <w:tcW w:w="2014" w:type="dxa"/>
            <w:vMerge w:val="restart"/>
            <w:vAlign w:val="center"/>
          </w:tcPr>
          <w:p w14:paraId="57654368" w14:textId="77777777" w:rsidR="00C95AD0" w:rsidRPr="00C27851" w:rsidRDefault="00C95AD0" w:rsidP="00C95AD0">
            <w:pPr>
              <w:jc w:val="center"/>
            </w:pPr>
            <w:r w:rsidRPr="00C27851">
              <w:t>Output</w:t>
            </w:r>
          </w:p>
        </w:tc>
        <w:tc>
          <w:tcPr>
            <w:tcW w:w="2039" w:type="dxa"/>
            <w:vMerge w:val="restart"/>
            <w:vAlign w:val="center"/>
          </w:tcPr>
          <w:p w14:paraId="62D7D288" w14:textId="77777777" w:rsidR="00C95AD0" w:rsidRPr="00C27851" w:rsidRDefault="00C95AD0" w:rsidP="00C95AD0">
            <w:pPr>
              <w:jc w:val="center"/>
            </w:pPr>
            <w:r w:rsidRPr="00C27851">
              <w:t>Main activities</w:t>
            </w:r>
          </w:p>
        </w:tc>
        <w:tc>
          <w:tcPr>
            <w:tcW w:w="1506" w:type="dxa"/>
            <w:vMerge w:val="restart"/>
            <w:vAlign w:val="center"/>
          </w:tcPr>
          <w:p w14:paraId="0CB49EE0" w14:textId="77777777" w:rsidR="00C95AD0" w:rsidRPr="00C27851" w:rsidRDefault="00C95AD0" w:rsidP="00C95AD0">
            <w:pPr>
              <w:jc w:val="center"/>
            </w:pPr>
            <w:r w:rsidRPr="00C27851">
              <w:t>Responsibility</w:t>
            </w:r>
          </w:p>
        </w:tc>
        <w:tc>
          <w:tcPr>
            <w:tcW w:w="3458" w:type="dxa"/>
            <w:gridSpan w:val="7"/>
            <w:vAlign w:val="center"/>
          </w:tcPr>
          <w:p w14:paraId="083FA755" w14:textId="77777777" w:rsidR="00C95AD0" w:rsidRPr="00C27851" w:rsidRDefault="00C95AD0" w:rsidP="00C95AD0">
            <w:pPr>
              <w:jc w:val="center"/>
            </w:pPr>
            <w:r w:rsidRPr="00C27851">
              <w:t>Year</w:t>
            </w:r>
          </w:p>
        </w:tc>
      </w:tr>
      <w:tr w:rsidR="00C95AD0" w14:paraId="63C9842C" w14:textId="77777777" w:rsidTr="00C95AD0">
        <w:tc>
          <w:tcPr>
            <w:tcW w:w="2014" w:type="dxa"/>
            <w:vMerge/>
            <w:vAlign w:val="center"/>
          </w:tcPr>
          <w:p w14:paraId="4CAD332D" w14:textId="77777777" w:rsidR="00C95AD0" w:rsidRDefault="00C95AD0" w:rsidP="00C95AD0">
            <w:pPr>
              <w:jc w:val="center"/>
            </w:pPr>
          </w:p>
        </w:tc>
        <w:tc>
          <w:tcPr>
            <w:tcW w:w="2039" w:type="dxa"/>
            <w:vMerge/>
            <w:vAlign w:val="center"/>
          </w:tcPr>
          <w:p w14:paraId="2B912854" w14:textId="77777777" w:rsidR="00C95AD0" w:rsidRDefault="00C95AD0" w:rsidP="00C95AD0">
            <w:pPr>
              <w:jc w:val="center"/>
            </w:pPr>
          </w:p>
        </w:tc>
        <w:tc>
          <w:tcPr>
            <w:tcW w:w="1506" w:type="dxa"/>
            <w:vMerge/>
            <w:vAlign w:val="center"/>
          </w:tcPr>
          <w:p w14:paraId="7AC4F654" w14:textId="77777777" w:rsidR="00C95AD0" w:rsidRDefault="00C95AD0" w:rsidP="00C95AD0">
            <w:pPr>
              <w:jc w:val="center"/>
            </w:pPr>
          </w:p>
        </w:tc>
        <w:tc>
          <w:tcPr>
            <w:tcW w:w="494" w:type="dxa"/>
            <w:vAlign w:val="center"/>
          </w:tcPr>
          <w:p w14:paraId="712AF038" w14:textId="77777777" w:rsidR="00C95AD0" w:rsidRDefault="00C95AD0" w:rsidP="00C95AD0">
            <w:pPr>
              <w:jc w:val="center"/>
            </w:pPr>
            <w:r w:rsidRPr="00C27851">
              <w:t>‘18</w:t>
            </w:r>
          </w:p>
        </w:tc>
        <w:tc>
          <w:tcPr>
            <w:tcW w:w="494" w:type="dxa"/>
            <w:vAlign w:val="center"/>
          </w:tcPr>
          <w:p w14:paraId="174E905A" w14:textId="77777777" w:rsidR="00C95AD0" w:rsidRDefault="00C95AD0" w:rsidP="00C95AD0">
            <w:pPr>
              <w:jc w:val="center"/>
            </w:pPr>
            <w:r w:rsidRPr="00C27851">
              <w:t>‘19</w:t>
            </w:r>
          </w:p>
        </w:tc>
        <w:tc>
          <w:tcPr>
            <w:tcW w:w="494" w:type="dxa"/>
            <w:vAlign w:val="center"/>
          </w:tcPr>
          <w:p w14:paraId="3C0497D9" w14:textId="77777777" w:rsidR="00C95AD0" w:rsidRDefault="00C95AD0" w:rsidP="00C95AD0">
            <w:pPr>
              <w:jc w:val="center"/>
            </w:pPr>
            <w:r w:rsidRPr="00C27851">
              <w:t>‘20</w:t>
            </w:r>
          </w:p>
        </w:tc>
        <w:tc>
          <w:tcPr>
            <w:tcW w:w="494" w:type="dxa"/>
            <w:vAlign w:val="center"/>
          </w:tcPr>
          <w:p w14:paraId="174240CB" w14:textId="77777777" w:rsidR="00C95AD0" w:rsidRDefault="00C95AD0" w:rsidP="00C95AD0">
            <w:pPr>
              <w:jc w:val="center"/>
            </w:pPr>
            <w:r w:rsidRPr="00C27851">
              <w:t>‘21</w:t>
            </w:r>
          </w:p>
        </w:tc>
        <w:tc>
          <w:tcPr>
            <w:tcW w:w="494" w:type="dxa"/>
            <w:vAlign w:val="center"/>
          </w:tcPr>
          <w:p w14:paraId="63BC60DE" w14:textId="77777777" w:rsidR="00C95AD0" w:rsidRDefault="00C95AD0" w:rsidP="00C95AD0">
            <w:pPr>
              <w:jc w:val="center"/>
            </w:pPr>
            <w:r w:rsidRPr="00C27851">
              <w:t>‘22</w:t>
            </w:r>
          </w:p>
        </w:tc>
        <w:tc>
          <w:tcPr>
            <w:tcW w:w="494" w:type="dxa"/>
            <w:vAlign w:val="center"/>
          </w:tcPr>
          <w:p w14:paraId="4CDD1C89" w14:textId="77777777" w:rsidR="00C95AD0" w:rsidRDefault="00C95AD0" w:rsidP="00C95AD0">
            <w:pPr>
              <w:jc w:val="center"/>
            </w:pPr>
            <w:r w:rsidRPr="00C27851">
              <w:t>‘23</w:t>
            </w:r>
          </w:p>
        </w:tc>
        <w:tc>
          <w:tcPr>
            <w:tcW w:w="494" w:type="dxa"/>
            <w:vAlign w:val="center"/>
          </w:tcPr>
          <w:p w14:paraId="599C7F39" w14:textId="77777777" w:rsidR="00C95AD0" w:rsidRDefault="00C95AD0" w:rsidP="00C95AD0">
            <w:pPr>
              <w:jc w:val="center"/>
            </w:pPr>
            <w:r w:rsidRPr="00C27851">
              <w:t>‘24</w:t>
            </w:r>
          </w:p>
        </w:tc>
      </w:tr>
      <w:tr w:rsidR="00D36C27" w14:paraId="23918D99" w14:textId="77777777" w:rsidTr="001047B3">
        <w:tc>
          <w:tcPr>
            <w:tcW w:w="2014" w:type="dxa"/>
            <w:vMerge w:val="restart"/>
            <w:vAlign w:val="center"/>
          </w:tcPr>
          <w:p w14:paraId="45A2ABB5" w14:textId="77777777" w:rsidR="00D36C27" w:rsidRDefault="00D36C27" w:rsidP="00CB4207">
            <w:r>
              <w:t>Recommendations for a Green License Plate scheme</w:t>
            </w:r>
          </w:p>
        </w:tc>
        <w:tc>
          <w:tcPr>
            <w:tcW w:w="2039" w:type="dxa"/>
            <w:vAlign w:val="center"/>
          </w:tcPr>
          <w:p w14:paraId="0CA22A34" w14:textId="77777777" w:rsidR="00D36C27" w:rsidRDefault="00D36C27" w:rsidP="00C95AD0">
            <w:r>
              <w:t>Appointing the technical advisory committee</w:t>
            </w:r>
            <w:r w:rsidR="001047B3">
              <w:t xml:space="preserve"> (TAC)</w:t>
            </w:r>
          </w:p>
        </w:tc>
        <w:tc>
          <w:tcPr>
            <w:tcW w:w="1506" w:type="dxa"/>
            <w:vAlign w:val="center"/>
          </w:tcPr>
          <w:p w14:paraId="4439D280" w14:textId="77777777" w:rsidR="00D36C27" w:rsidRDefault="00D36C27" w:rsidP="00C95AD0">
            <w:r>
              <w:t>MMDE</w:t>
            </w:r>
          </w:p>
        </w:tc>
        <w:tc>
          <w:tcPr>
            <w:tcW w:w="494" w:type="dxa"/>
            <w:shd w:val="clear" w:color="auto" w:fill="FFFFFF" w:themeFill="background1"/>
            <w:vAlign w:val="center"/>
          </w:tcPr>
          <w:p w14:paraId="794D4885" w14:textId="77777777" w:rsidR="00D36C27" w:rsidRDefault="00D36C27" w:rsidP="00C95AD0">
            <w:pPr>
              <w:jc w:val="center"/>
            </w:pPr>
          </w:p>
        </w:tc>
        <w:tc>
          <w:tcPr>
            <w:tcW w:w="494" w:type="dxa"/>
            <w:shd w:val="clear" w:color="auto" w:fill="BFBFBF" w:themeFill="background1" w:themeFillShade="BF"/>
            <w:vAlign w:val="center"/>
          </w:tcPr>
          <w:p w14:paraId="24E41639" w14:textId="77777777" w:rsidR="00D36C27" w:rsidRDefault="00D36C27" w:rsidP="00C95AD0">
            <w:pPr>
              <w:jc w:val="center"/>
            </w:pPr>
          </w:p>
        </w:tc>
        <w:tc>
          <w:tcPr>
            <w:tcW w:w="494" w:type="dxa"/>
            <w:vAlign w:val="center"/>
          </w:tcPr>
          <w:p w14:paraId="5D353E94" w14:textId="77777777" w:rsidR="00D36C27" w:rsidRDefault="00D36C27" w:rsidP="00C95AD0">
            <w:pPr>
              <w:jc w:val="center"/>
            </w:pPr>
          </w:p>
        </w:tc>
        <w:tc>
          <w:tcPr>
            <w:tcW w:w="494" w:type="dxa"/>
            <w:vAlign w:val="center"/>
          </w:tcPr>
          <w:p w14:paraId="5EAEA49B" w14:textId="77777777" w:rsidR="00D36C27" w:rsidRDefault="00D36C27" w:rsidP="00C95AD0">
            <w:pPr>
              <w:jc w:val="center"/>
            </w:pPr>
          </w:p>
        </w:tc>
        <w:tc>
          <w:tcPr>
            <w:tcW w:w="494" w:type="dxa"/>
            <w:vAlign w:val="center"/>
          </w:tcPr>
          <w:p w14:paraId="6CEDBD46" w14:textId="77777777" w:rsidR="00D36C27" w:rsidRDefault="00D36C27" w:rsidP="00C95AD0">
            <w:pPr>
              <w:jc w:val="center"/>
            </w:pPr>
          </w:p>
        </w:tc>
        <w:tc>
          <w:tcPr>
            <w:tcW w:w="494" w:type="dxa"/>
            <w:vAlign w:val="center"/>
          </w:tcPr>
          <w:p w14:paraId="77832701" w14:textId="77777777" w:rsidR="00D36C27" w:rsidRDefault="00D36C27" w:rsidP="00C95AD0">
            <w:pPr>
              <w:jc w:val="center"/>
            </w:pPr>
          </w:p>
        </w:tc>
        <w:tc>
          <w:tcPr>
            <w:tcW w:w="494" w:type="dxa"/>
            <w:vAlign w:val="center"/>
          </w:tcPr>
          <w:p w14:paraId="7D7C45E0" w14:textId="77777777" w:rsidR="00D36C27" w:rsidRDefault="00D36C27" w:rsidP="00C95AD0">
            <w:pPr>
              <w:jc w:val="center"/>
            </w:pPr>
          </w:p>
        </w:tc>
      </w:tr>
      <w:tr w:rsidR="00D36C27" w14:paraId="6315BD32" w14:textId="77777777" w:rsidTr="001047B3">
        <w:tc>
          <w:tcPr>
            <w:tcW w:w="2014" w:type="dxa"/>
            <w:vMerge/>
            <w:vAlign w:val="center"/>
          </w:tcPr>
          <w:p w14:paraId="21F1FDBA" w14:textId="77777777" w:rsidR="00D36C27" w:rsidRDefault="00D36C27" w:rsidP="00CB4207"/>
        </w:tc>
        <w:tc>
          <w:tcPr>
            <w:tcW w:w="2039" w:type="dxa"/>
            <w:vAlign w:val="center"/>
          </w:tcPr>
          <w:p w14:paraId="5B9F8590" w14:textId="77777777" w:rsidR="00D36C27" w:rsidRDefault="00D36C27" w:rsidP="00C95AD0">
            <w:r>
              <w:t>Investigating the regulatory mechanism</w:t>
            </w:r>
          </w:p>
        </w:tc>
        <w:tc>
          <w:tcPr>
            <w:tcW w:w="1506" w:type="dxa"/>
            <w:vAlign w:val="center"/>
          </w:tcPr>
          <w:p w14:paraId="11D3B99C" w14:textId="77777777" w:rsidR="00D36C27" w:rsidRDefault="001047B3" w:rsidP="00C95AD0">
            <w:r>
              <w:t>MMDE/TAC</w:t>
            </w:r>
          </w:p>
        </w:tc>
        <w:tc>
          <w:tcPr>
            <w:tcW w:w="494" w:type="dxa"/>
            <w:shd w:val="clear" w:color="auto" w:fill="FFFFFF" w:themeFill="background1"/>
            <w:vAlign w:val="center"/>
          </w:tcPr>
          <w:p w14:paraId="0284566A" w14:textId="77777777" w:rsidR="00D36C27" w:rsidRDefault="00D36C27" w:rsidP="00C95AD0">
            <w:pPr>
              <w:jc w:val="center"/>
            </w:pPr>
          </w:p>
        </w:tc>
        <w:tc>
          <w:tcPr>
            <w:tcW w:w="494" w:type="dxa"/>
            <w:shd w:val="clear" w:color="auto" w:fill="BFBFBF" w:themeFill="background1" w:themeFillShade="BF"/>
            <w:vAlign w:val="center"/>
          </w:tcPr>
          <w:p w14:paraId="29F3D196" w14:textId="77777777" w:rsidR="00D36C27" w:rsidRDefault="00D36C27" w:rsidP="00C95AD0">
            <w:pPr>
              <w:jc w:val="center"/>
            </w:pPr>
          </w:p>
        </w:tc>
        <w:tc>
          <w:tcPr>
            <w:tcW w:w="494" w:type="dxa"/>
            <w:vAlign w:val="center"/>
          </w:tcPr>
          <w:p w14:paraId="09BC405D" w14:textId="77777777" w:rsidR="00D36C27" w:rsidRDefault="00D36C27" w:rsidP="00C95AD0">
            <w:pPr>
              <w:jc w:val="center"/>
            </w:pPr>
          </w:p>
        </w:tc>
        <w:tc>
          <w:tcPr>
            <w:tcW w:w="494" w:type="dxa"/>
            <w:vAlign w:val="center"/>
          </w:tcPr>
          <w:p w14:paraId="15FDE43D" w14:textId="77777777" w:rsidR="00D36C27" w:rsidRDefault="00D36C27" w:rsidP="00C95AD0">
            <w:pPr>
              <w:jc w:val="center"/>
            </w:pPr>
          </w:p>
        </w:tc>
        <w:tc>
          <w:tcPr>
            <w:tcW w:w="494" w:type="dxa"/>
            <w:vAlign w:val="center"/>
          </w:tcPr>
          <w:p w14:paraId="4829B155" w14:textId="77777777" w:rsidR="00D36C27" w:rsidRDefault="00D36C27" w:rsidP="00C95AD0">
            <w:pPr>
              <w:jc w:val="center"/>
            </w:pPr>
          </w:p>
        </w:tc>
        <w:tc>
          <w:tcPr>
            <w:tcW w:w="494" w:type="dxa"/>
            <w:vAlign w:val="center"/>
          </w:tcPr>
          <w:p w14:paraId="0284D410" w14:textId="77777777" w:rsidR="00D36C27" w:rsidRDefault="00D36C27" w:rsidP="00C95AD0">
            <w:pPr>
              <w:jc w:val="center"/>
            </w:pPr>
          </w:p>
        </w:tc>
        <w:tc>
          <w:tcPr>
            <w:tcW w:w="494" w:type="dxa"/>
            <w:vAlign w:val="center"/>
          </w:tcPr>
          <w:p w14:paraId="3CC8168C" w14:textId="77777777" w:rsidR="00D36C27" w:rsidRDefault="00D36C27" w:rsidP="00C95AD0">
            <w:pPr>
              <w:jc w:val="center"/>
            </w:pPr>
          </w:p>
        </w:tc>
      </w:tr>
      <w:tr w:rsidR="00D36C27" w14:paraId="46D2F35B" w14:textId="77777777" w:rsidTr="001047B3">
        <w:tc>
          <w:tcPr>
            <w:tcW w:w="2014" w:type="dxa"/>
            <w:vMerge/>
            <w:vAlign w:val="center"/>
          </w:tcPr>
          <w:p w14:paraId="54080AD1" w14:textId="77777777" w:rsidR="00D36C27" w:rsidRDefault="00D36C27" w:rsidP="00C95AD0"/>
        </w:tc>
        <w:tc>
          <w:tcPr>
            <w:tcW w:w="2039" w:type="dxa"/>
            <w:vAlign w:val="center"/>
          </w:tcPr>
          <w:p w14:paraId="5393E418" w14:textId="332FDDCB" w:rsidR="00D36C27" w:rsidRDefault="00D36C27" w:rsidP="00C95AD0">
            <w:r w:rsidRPr="00CB4207">
              <w:t>Carrying out</w:t>
            </w:r>
            <w:r>
              <w:t xml:space="preserve"> the </w:t>
            </w:r>
            <w:r w:rsidR="000D7022">
              <w:t xml:space="preserve">feasibility </w:t>
            </w:r>
            <w:r>
              <w:t>study</w:t>
            </w:r>
          </w:p>
        </w:tc>
        <w:tc>
          <w:tcPr>
            <w:tcW w:w="1506" w:type="dxa"/>
            <w:vAlign w:val="center"/>
          </w:tcPr>
          <w:p w14:paraId="6BA24355" w14:textId="77777777" w:rsidR="00D36C27" w:rsidRDefault="001047B3" w:rsidP="00C95AD0">
            <w:r>
              <w:t>MMDE/TAC</w:t>
            </w:r>
          </w:p>
        </w:tc>
        <w:tc>
          <w:tcPr>
            <w:tcW w:w="494" w:type="dxa"/>
            <w:vAlign w:val="center"/>
          </w:tcPr>
          <w:p w14:paraId="4AFE132F" w14:textId="77777777" w:rsidR="00D36C27" w:rsidRDefault="00D36C27" w:rsidP="00C95AD0">
            <w:pPr>
              <w:jc w:val="center"/>
            </w:pPr>
          </w:p>
        </w:tc>
        <w:tc>
          <w:tcPr>
            <w:tcW w:w="494" w:type="dxa"/>
            <w:shd w:val="clear" w:color="auto" w:fill="BFBFBF" w:themeFill="background1" w:themeFillShade="BF"/>
            <w:vAlign w:val="center"/>
          </w:tcPr>
          <w:p w14:paraId="1032BCEE" w14:textId="77777777" w:rsidR="00D36C27" w:rsidRDefault="00D36C27" w:rsidP="00C95AD0">
            <w:pPr>
              <w:jc w:val="center"/>
            </w:pPr>
          </w:p>
        </w:tc>
        <w:tc>
          <w:tcPr>
            <w:tcW w:w="494" w:type="dxa"/>
            <w:vAlign w:val="center"/>
          </w:tcPr>
          <w:p w14:paraId="0586BB8C" w14:textId="77777777" w:rsidR="00D36C27" w:rsidRDefault="00D36C27" w:rsidP="00C95AD0">
            <w:pPr>
              <w:jc w:val="center"/>
            </w:pPr>
          </w:p>
        </w:tc>
        <w:tc>
          <w:tcPr>
            <w:tcW w:w="494" w:type="dxa"/>
            <w:vAlign w:val="center"/>
          </w:tcPr>
          <w:p w14:paraId="1CD5AF78" w14:textId="77777777" w:rsidR="00D36C27" w:rsidRDefault="00D36C27" w:rsidP="00C95AD0">
            <w:pPr>
              <w:jc w:val="center"/>
            </w:pPr>
          </w:p>
        </w:tc>
        <w:tc>
          <w:tcPr>
            <w:tcW w:w="494" w:type="dxa"/>
            <w:vAlign w:val="center"/>
          </w:tcPr>
          <w:p w14:paraId="4CB95E9E" w14:textId="77777777" w:rsidR="00D36C27" w:rsidRDefault="00D36C27" w:rsidP="00C95AD0">
            <w:pPr>
              <w:jc w:val="center"/>
            </w:pPr>
          </w:p>
        </w:tc>
        <w:tc>
          <w:tcPr>
            <w:tcW w:w="494" w:type="dxa"/>
            <w:vAlign w:val="center"/>
          </w:tcPr>
          <w:p w14:paraId="7E6FACEF" w14:textId="77777777" w:rsidR="00D36C27" w:rsidRDefault="00D36C27" w:rsidP="00C95AD0">
            <w:pPr>
              <w:jc w:val="center"/>
            </w:pPr>
          </w:p>
        </w:tc>
        <w:tc>
          <w:tcPr>
            <w:tcW w:w="494" w:type="dxa"/>
            <w:vAlign w:val="center"/>
          </w:tcPr>
          <w:p w14:paraId="1D4A4F5A" w14:textId="77777777" w:rsidR="00D36C27" w:rsidRDefault="00D36C27" w:rsidP="00C95AD0">
            <w:pPr>
              <w:jc w:val="center"/>
            </w:pPr>
          </w:p>
        </w:tc>
      </w:tr>
      <w:tr w:rsidR="00D36C27" w14:paraId="2397266D" w14:textId="77777777" w:rsidTr="001047B3">
        <w:tc>
          <w:tcPr>
            <w:tcW w:w="2014" w:type="dxa"/>
            <w:vMerge/>
            <w:vAlign w:val="center"/>
          </w:tcPr>
          <w:p w14:paraId="25CEC4B9" w14:textId="77777777" w:rsidR="00D36C27" w:rsidRDefault="00D36C27" w:rsidP="00C95AD0"/>
        </w:tc>
        <w:tc>
          <w:tcPr>
            <w:tcW w:w="2039" w:type="dxa"/>
            <w:vAlign w:val="center"/>
          </w:tcPr>
          <w:p w14:paraId="085DBECF" w14:textId="0B2A52E9" w:rsidR="00D36C27" w:rsidRDefault="00D36C27" w:rsidP="00CB4207">
            <w:r>
              <w:t>Formulating finance mobilization and utilization</w:t>
            </w:r>
            <w:r w:rsidR="00B3154F">
              <w:t xml:space="preserve"> plan</w:t>
            </w:r>
          </w:p>
        </w:tc>
        <w:tc>
          <w:tcPr>
            <w:tcW w:w="1506" w:type="dxa"/>
            <w:vAlign w:val="center"/>
          </w:tcPr>
          <w:p w14:paraId="0F6DB743" w14:textId="77777777" w:rsidR="00D36C27" w:rsidRDefault="001047B3" w:rsidP="00C95AD0">
            <w:r w:rsidRPr="001047B3">
              <w:t>MMDE/TAC</w:t>
            </w:r>
          </w:p>
        </w:tc>
        <w:tc>
          <w:tcPr>
            <w:tcW w:w="494" w:type="dxa"/>
            <w:vAlign w:val="center"/>
          </w:tcPr>
          <w:p w14:paraId="7F1C3152" w14:textId="77777777" w:rsidR="00D36C27" w:rsidRDefault="00D36C27" w:rsidP="00C95AD0">
            <w:pPr>
              <w:jc w:val="center"/>
            </w:pPr>
          </w:p>
        </w:tc>
        <w:tc>
          <w:tcPr>
            <w:tcW w:w="494" w:type="dxa"/>
            <w:shd w:val="clear" w:color="auto" w:fill="BFBFBF" w:themeFill="background1" w:themeFillShade="BF"/>
            <w:vAlign w:val="center"/>
          </w:tcPr>
          <w:p w14:paraId="779D0887" w14:textId="77777777" w:rsidR="00D36C27" w:rsidRDefault="00D36C27" w:rsidP="00C95AD0">
            <w:pPr>
              <w:jc w:val="center"/>
            </w:pPr>
          </w:p>
        </w:tc>
        <w:tc>
          <w:tcPr>
            <w:tcW w:w="494" w:type="dxa"/>
            <w:shd w:val="clear" w:color="auto" w:fill="FFFFFF" w:themeFill="background1"/>
            <w:vAlign w:val="center"/>
          </w:tcPr>
          <w:p w14:paraId="5E5D190E" w14:textId="77777777" w:rsidR="00D36C27" w:rsidRDefault="00D36C27" w:rsidP="00C95AD0">
            <w:pPr>
              <w:jc w:val="center"/>
            </w:pPr>
          </w:p>
        </w:tc>
        <w:tc>
          <w:tcPr>
            <w:tcW w:w="494" w:type="dxa"/>
            <w:shd w:val="clear" w:color="auto" w:fill="FFFFFF" w:themeFill="background1"/>
            <w:vAlign w:val="center"/>
          </w:tcPr>
          <w:p w14:paraId="34970B39" w14:textId="77777777" w:rsidR="00D36C27" w:rsidRDefault="00D36C27" w:rsidP="00C95AD0">
            <w:pPr>
              <w:jc w:val="center"/>
            </w:pPr>
          </w:p>
        </w:tc>
        <w:tc>
          <w:tcPr>
            <w:tcW w:w="494" w:type="dxa"/>
            <w:vAlign w:val="center"/>
          </w:tcPr>
          <w:p w14:paraId="21965B15" w14:textId="77777777" w:rsidR="00D36C27" w:rsidRDefault="00D36C27" w:rsidP="00C95AD0">
            <w:pPr>
              <w:jc w:val="center"/>
            </w:pPr>
          </w:p>
        </w:tc>
        <w:tc>
          <w:tcPr>
            <w:tcW w:w="494" w:type="dxa"/>
            <w:vAlign w:val="center"/>
          </w:tcPr>
          <w:p w14:paraId="2030F226" w14:textId="77777777" w:rsidR="00D36C27" w:rsidRDefault="00D36C27" w:rsidP="00C95AD0">
            <w:pPr>
              <w:jc w:val="center"/>
            </w:pPr>
          </w:p>
        </w:tc>
        <w:tc>
          <w:tcPr>
            <w:tcW w:w="494" w:type="dxa"/>
            <w:vAlign w:val="center"/>
          </w:tcPr>
          <w:p w14:paraId="10C65427" w14:textId="77777777" w:rsidR="00D36C27" w:rsidRDefault="00D36C27" w:rsidP="00C95AD0">
            <w:pPr>
              <w:jc w:val="center"/>
            </w:pPr>
          </w:p>
        </w:tc>
      </w:tr>
      <w:tr w:rsidR="00D36C27" w14:paraId="67B27B98" w14:textId="77777777" w:rsidTr="001047B3">
        <w:tc>
          <w:tcPr>
            <w:tcW w:w="2014" w:type="dxa"/>
            <w:vMerge/>
            <w:vAlign w:val="center"/>
          </w:tcPr>
          <w:p w14:paraId="78A9D74C" w14:textId="77777777" w:rsidR="00D36C27" w:rsidRDefault="00D36C27" w:rsidP="00C95AD0"/>
        </w:tc>
        <w:tc>
          <w:tcPr>
            <w:tcW w:w="2039" w:type="dxa"/>
            <w:vAlign w:val="center"/>
          </w:tcPr>
          <w:p w14:paraId="26B56530" w14:textId="77777777" w:rsidR="00D36C27" w:rsidRDefault="00D36C27" w:rsidP="00C95AD0">
            <w:r>
              <w:t>Verification and approval</w:t>
            </w:r>
          </w:p>
        </w:tc>
        <w:tc>
          <w:tcPr>
            <w:tcW w:w="1506" w:type="dxa"/>
            <w:vAlign w:val="center"/>
          </w:tcPr>
          <w:p w14:paraId="17F7AF8B" w14:textId="77777777" w:rsidR="00D36C27" w:rsidRDefault="001047B3" w:rsidP="00C95AD0">
            <w:r>
              <w:t>MMDE</w:t>
            </w:r>
          </w:p>
        </w:tc>
        <w:tc>
          <w:tcPr>
            <w:tcW w:w="494" w:type="dxa"/>
            <w:vAlign w:val="center"/>
          </w:tcPr>
          <w:p w14:paraId="14161774" w14:textId="77777777" w:rsidR="00D36C27" w:rsidRDefault="00D36C27" w:rsidP="00C95AD0">
            <w:pPr>
              <w:jc w:val="center"/>
            </w:pPr>
          </w:p>
        </w:tc>
        <w:tc>
          <w:tcPr>
            <w:tcW w:w="494" w:type="dxa"/>
            <w:shd w:val="clear" w:color="auto" w:fill="BFBFBF" w:themeFill="background1" w:themeFillShade="BF"/>
            <w:vAlign w:val="center"/>
          </w:tcPr>
          <w:p w14:paraId="2E8E7A35" w14:textId="77777777" w:rsidR="00D36C27" w:rsidRDefault="00D36C27" w:rsidP="00C95AD0">
            <w:pPr>
              <w:jc w:val="center"/>
            </w:pPr>
          </w:p>
        </w:tc>
        <w:tc>
          <w:tcPr>
            <w:tcW w:w="494" w:type="dxa"/>
            <w:shd w:val="clear" w:color="auto" w:fill="BFBFBF" w:themeFill="background1" w:themeFillShade="BF"/>
            <w:vAlign w:val="center"/>
          </w:tcPr>
          <w:p w14:paraId="2AF31E85" w14:textId="77777777" w:rsidR="00D36C27" w:rsidRDefault="00D36C27" w:rsidP="00C95AD0">
            <w:pPr>
              <w:jc w:val="center"/>
            </w:pPr>
          </w:p>
        </w:tc>
        <w:tc>
          <w:tcPr>
            <w:tcW w:w="494" w:type="dxa"/>
            <w:vAlign w:val="center"/>
          </w:tcPr>
          <w:p w14:paraId="4BE690EF" w14:textId="77777777" w:rsidR="00D36C27" w:rsidRDefault="00D36C27" w:rsidP="00C95AD0">
            <w:pPr>
              <w:jc w:val="center"/>
            </w:pPr>
          </w:p>
        </w:tc>
        <w:tc>
          <w:tcPr>
            <w:tcW w:w="494" w:type="dxa"/>
            <w:vAlign w:val="center"/>
          </w:tcPr>
          <w:p w14:paraId="6752F8A3" w14:textId="77777777" w:rsidR="00D36C27" w:rsidRDefault="00D36C27" w:rsidP="00C95AD0">
            <w:pPr>
              <w:jc w:val="center"/>
            </w:pPr>
          </w:p>
        </w:tc>
        <w:tc>
          <w:tcPr>
            <w:tcW w:w="494" w:type="dxa"/>
            <w:vAlign w:val="center"/>
          </w:tcPr>
          <w:p w14:paraId="751980EB" w14:textId="77777777" w:rsidR="00D36C27" w:rsidRDefault="00D36C27" w:rsidP="00C95AD0">
            <w:pPr>
              <w:jc w:val="center"/>
            </w:pPr>
          </w:p>
        </w:tc>
        <w:tc>
          <w:tcPr>
            <w:tcW w:w="494" w:type="dxa"/>
            <w:vAlign w:val="center"/>
          </w:tcPr>
          <w:p w14:paraId="6E73B34D" w14:textId="77777777" w:rsidR="00D36C27" w:rsidRDefault="00D36C27" w:rsidP="00C95AD0">
            <w:pPr>
              <w:jc w:val="center"/>
            </w:pPr>
          </w:p>
        </w:tc>
      </w:tr>
      <w:tr w:rsidR="001047B3" w14:paraId="248383B1" w14:textId="77777777" w:rsidTr="001047B3">
        <w:tc>
          <w:tcPr>
            <w:tcW w:w="2014" w:type="dxa"/>
            <w:vMerge w:val="restart"/>
            <w:vAlign w:val="center"/>
          </w:tcPr>
          <w:p w14:paraId="453C6257" w14:textId="77777777" w:rsidR="001047B3" w:rsidRDefault="001047B3" w:rsidP="00C95AD0">
            <w:r>
              <w:t>Implementation of the Green License Plate scheme</w:t>
            </w:r>
          </w:p>
        </w:tc>
        <w:tc>
          <w:tcPr>
            <w:tcW w:w="2039" w:type="dxa"/>
            <w:vAlign w:val="center"/>
          </w:tcPr>
          <w:p w14:paraId="38958191" w14:textId="77777777" w:rsidR="001047B3" w:rsidRDefault="001047B3" w:rsidP="00C95AD0">
            <w:r>
              <w:t>Implementing the scheme for the existing vehicles</w:t>
            </w:r>
          </w:p>
        </w:tc>
        <w:tc>
          <w:tcPr>
            <w:tcW w:w="1506" w:type="dxa"/>
            <w:vAlign w:val="center"/>
          </w:tcPr>
          <w:p w14:paraId="5A9868F9" w14:textId="77777777" w:rsidR="001047B3" w:rsidRDefault="001047B3" w:rsidP="00C95AD0">
            <w:r>
              <w:t>DMT</w:t>
            </w:r>
          </w:p>
        </w:tc>
        <w:tc>
          <w:tcPr>
            <w:tcW w:w="494" w:type="dxa"/>
            <w:vAlign w:val="center"/>
          </w:tcPr>
          <w:p w14:paraId="23FFF55F" w14:textId="77777777" w:rsidR="001047B3" w:rsidRDefault="001047B3" w:rsidP="00C95AD0">
            <w:pPr>
              <w:jc w:val="center"/>
            </w:pPr>
          </w:p>
        </w:tc>
        <w:tc>
          <w:tcPr>
            <w:tcW w:w="494" w:type="dxa"/>
            <w:vAlign w:val="center"/>
          </w:tcPr>
          <w:p w14:paraId="2D74F9FB" w14:textId="77777777" w:rsidR="001047B3" w:rsidRDefault="001047B3" w:rsidP="00C95AD0">
            <w:pPr>
              <w:jc w:val="center"/>
            </w:pPr>
          </w:p>
        </w:tc>
        <w:tc>
          <w:tcPr>
            <w:tcW w:w="494" w:type="dxa"/>
            <w:shd w:val="clear" w:color="auto" w:fill="BFBFBF" w:themeFill="background1" w:themeFillShade="BF"/>
            <w:vAlign w:val="center"/>
          </w:tcPr>
          <w:p w14:paraId="7BA6DC0F" w14:textId="77777777" w:rsidR="001047B3" w:rsidRDefault="001047B3" w:rsidP="00C95AD0">
            <w:pPr>
              <w:jc w:val="center"/>
            </w:pPr>
          </w:p>
        </w:tc>
        <w:tc>
          <w:tcPr>
            <w:tcW w:w="494" w:type="dxa"/>
            <w:shd w:val="clear" w:color="auto" w:fill="FFFFFF" w:themeFill="background1"/>
            <w:vAlign w:val="center"/>
          </w:tcPr>
          <w:p w14:paraId="4B552F66" w14:textId="77777777" w:rsidR="001047B3" w:rsidRDefault="001047B3" w:rsidP="00C95AD0">
            <w:pPr>
              <w:jc w:val="center"/>
            </w:pPr>
          </w:p>
        </w:tc>
        <w:tc>
          <w:tcPr>
            <w:tcW w:w="494" w:type="dxa"/>
            <w:shd w:val="clear" w:color="auto" w:fill="FFFFFF" w:themeFill="background1"/>
            <w:vAlign w:val="center"/>
          </w:tcPr>
          <w:p w14:paraId="1E0830F3" w14:textId="77777777" w:rsidR="001047B3" w:rsidRDefault="001047B3" w:rsidP="00C95AD0">
            <w:pPr>
              <w:jc w:val="center"/>
            </w:pPr>
          </w:p>
        </w:tc>
        <w:tc>
          <w:tcPr>
            <w:tcW w:w="494" w:type="dxa"/>
            <w:shd w:val="clear" w:color="auto" w:fill="FFFFFF" w:themeFill="background1"/>
            <w:vAlign w:val="center"/>
          </w:tcPr>
          <w:p w14:paraId="3B4AAC66" w14:textId="77777777" w:rsidR="001047B3" w:rsidRDefault="001047B3" w:rsidP="00C95AD0">
            <w:pPr>
              <w:jc w:val="center"/>
            </w:pPr>
          </w:p>
        </w:tc>
        <w:tc>
          <w:tcPr>
            <w:tcW w:w="494" w:type="dxa"/>
            <w:shd w:val="clear" w:color="auto" w:fill="FFFFFF" w:themeFill="background1"/>
            <w:vAlign w:val="center"/>
          </w:tcPr>
          <w:p w14:paraId="3AC4A1E4" w14:textId="77777777" w:rsidR="001047B3" w:rsidRDefault="001047B3" w:rsidP="00C95AD0">
            <w:pPr>
              <w:jc w:val="center"/>
            </w:pPr>
          </w:p>
        </w:tc>
      </w:tr>
      <w:tr w:rsidR="001047B3" w14:paraId="6745E5A1" w14:textId="77777777" w:rsidTr="001047B3">
        <w:tc>
          <w:tcPr>
            <w:tcW w:w="2014" w:type="dxa"/>
            <w:vMerge/>
            <w:vAlign w:val="center"/>
          </w:tcPr>
          <w:p w14:paraId="645FEB4D" w14:textId="77777777" w:rsidR="001047B3" w:rsidRDefault="001047B3" w:rsidP="00C95AD0"/>
        </w:tc>
        <w:tc>
          <w:tcPr>
            <w:tcW w:w="2039" w:type="dxa"/>
            <w:vAlign w:val="center"/>
          </w:tcPr>
          <w:p w14:paraId="4ED2C62F" w14:textId="77777777" w:rsidR="001047B3" w:rsidRDefault="001047B3" w:rsidP="00C95AD0">
            <w:r>
              <w:t>Implementing the scheme for the newly registering vehicles</w:t>
            </w:r>
          </w:p>
        </w:tc>
        <w:tc>
          <w:tcPr>
            <w:tcW w:w="1506" w:type="dxa"/>
            <w:vAlign w:val="center"/>
          </w:tcPr>
          <w:p w14:paraId="0709D16B" w14:textId="77777777" w:rsidR="001047B3" w:rsidRDefault="001047B3" w:rsidP="00C95AD0">
            <w:r>
              <w:t>DMT</w:t>
            </w:r>
          </w:p>
        </w:tc>
        <w:tc>
          <w:tcPr>
            <w:tcW w:w="494" w:type="dxa"/>
            <w:vAlign w:val="center"/>
          </w:tcPr>
          <w:p w14:paraId="1EB3AF45" w14:textId="77777777" w:rsidR="001047B3" w:rsidRDefault="001047B3" w:rsidP="00C95AD0">
            <w:pPr>
              <w:jc w:val="center"/>
            </w:pPr>
          </w:p>
        </w:tc>
        <w:tc>
          <w:tcPr>
            <w:tcW w:w="494" w:type="dxa"/>
            <w:vAlign w:val="center"/>
          </w:tcPr>
          <w:p w14:paraId="6E57A2C9" w14:textId="77777777" w:rsidR="001047B3" w:rsidRDefault="001047B3" w:rsidP="00C95AD0">
            <w:pPr>
              <w:jc w:val="center"/>
            </w:pPr>
          </w:p>
        </w:tc>
        <w:tc>
          <w:tcPr>
            <w:tcW w:w="494" w:type="dxa"/>
            <w:shd w:val="clear" w:color="auto" w:fill="BFBFBF" w:themeFill="background1" w:themeFillShade="BF"/>
            <w:vAlign w:val="center"/>
          </w:tcPr>
          <w:p w14:paraId="330CE61E" w14:textId="77777777" w:rsidR="001047B3" w:rsidRDefault="001047B3" w:rsidP="00C95AD0">
            <w:pPr>
              <w:jc w:val="center"/>
            </w:pPr>
          </w:p>
        </w:tc>
        <w:tc>
          <w:tcPr>
            <w:tcW w:w="494" w:type="dxa"/>
            <w:vAlign w:val="center"/>
          </w:tcPr>
          <w:p w14:paraId="10E4D25C" w14:textId="77777777" w:rsidR="001047B3" w:rsidRDefault="001047B3" w:rsidP="00C95AD0">
            <w:pPr>
              <w:jc w:val="center"/>
            </w:pPr>
          </w:p>
        </w:tc>
        <w:tc>
          <w:tcPr>
            <w:tcW w:w="494" w:type="dxa"/>
            <w:vAlign w:val="center"/>
          </w:tcPr>
          <w:p w14:paraId="3566D582" w14:textId="77777777" w:rsidR="001047B3" w:rsidRDefault="001047B3" w:rsidP="00C95AD0">
            <w:pPr>
              <w:jc w:val="center"/>
            </w:pPr>
          </w:p>
        </w:tc>
        <w:tc>
          <w:tcPr>
            <w:tcW w:w="494" w:type="dxa"/>
            <w:vAlign w:val="center"/>
          </w:tcPr>
          <w:p w14:paraId="4519BE02" w14:textId="77777777" w:rsidR="001047B3" w:rsidRDefault="001047B3" w:rsidP="00C95AD0">
            <w:pPr>
              <w:jc w:val="center"/>
            </w:pPr>
          </w:p>
        </w:tc>
        <w:tc>
          <w:tcPr>
            <w:tcW w:w="494" w:type="dxa"/>
            <w:vAlign w:val="center"/>
          </w:tcPr>
          <w:p w14:paraId="079B2E25" w14:textId="77777777" w:rsidR="001047B3" w:rsidRDefault="001047B3" w:rsidP="00C95AD0">
            <w:pPr>
              <w:jc w:val="center"/>
            </w:pPr>
          </w:p>
        </w:tc>
      </w:tr>
      <w:tr w:rsidR="001047B3" w14:paraId="43A91364" w14:textId="77777777" w:rsidTr="001047B3">
        <w:tc>
          <w:tcPr>
            <w:tcW w:w="2014" w:type="dxa"/>
            <w:vMerge/>
            <w:vAlign w:val="center"/>
          </w:tcPr>
          <w:p w14:paraId="7F87476C" w14:textId="77777777" w:rsidR="001047B3" w:rsidRDefault="001047B3" w:rsidP="00C95AD0"/>
        </w:tc>
        <w:tc>
          <w:tcPr>
            <w:tcW w:w="2039" w:type="dxa"/>
            <w:vAlign w:val="center"/>
          </w:tcPr>
          <w:p w14:paraId="03CBF6B2" w14:textId="77777777" w:rsidR="001047B3" w:rsidRDefault="001047B3" w:rsidP="00C95AD0">
            <w:r>
              <w:t>Managing the mobilization of finances and the fund</w:t>
            </w:r>
          </w:p>
        </w:tc>
        <w:tc>
          <w:tcPr>
            <w:tcW w:w="1506" w:type="dxa"/>
            <w:vAlign w:val="center"/>
          </w:tcPr>
          <w:p w14:paraId="42C3B2E7" w14:textId="77777777" w:rsidR="001047B3" w:rsidRDefault="001047B3" w:rsidP="00C95AD0">
            <w:r>
              <w:t>MF/MMDE</w:t>
            </w:r>
          </w:p>
        </w:tc>
        <w:tc>
          <w:tcPr>
            <w:tcW w:w="494" w:type="dxa"/>
            <w:vAlign w:val="center"/>
          </w:tcPr>
          <w:p w14:paraId="68B31026" w14:textId="77777777" w:rsidR="001047B3" w:rsidRDefault="001047B3" w:rsidP="00C95AD0">
            <w:pPr>
              <w:jc w:val="center"/>
            </w:pPr>
          </w:p>
        </w:tc>
        <w:tc>
          <w:tcPr>
            <w:tcW w:w="494" w:type="dxa"/>
            <w:vAlign w:val="center"/>
          </w:tcPr>
          <w:p w14:paraId="387F5F8A" w14:textId="77777777" w:rsidR="001047B3" w:rsidRDefault="001047B3" w:rsidP="00C95AD0">
            <w:pPr>
              <w:jc w:val="center"/>
            </w:pPr>
          </w:p>
        </w:tc>
        <w:tc>
          <w:tcPr>
            <w:tcW w:w="494" w:type="dxa"/>
            <w:shd w:val="clear" w:color="auto" w:fill="BFBFBF" w:themeFill="background1" w:themeFillShade="BF"/>
            <w:vAlign w:val="center"/>
          </w:tcPr>
          <w:p w14:paraId="098113E4" w14:textId="77777777" w:rsidR="001047B3" w:rsidRDefault="001047B3" w:rsidP="00C95AD0">
            <w:pPr>
              <w:jc w:val="center"/>
            </w:pPr>
          </w:p>
        </w:tc>
        <w:tc>
          <w:tcPr>
            <w:tcW w:w="494" w:type="dxa"/>
            <w:shd w:val="clear" w:color="auto" w:fill="BFBFBF" w:themeFill="background1" w:themeFillShade="BF"/>
            <w:vAlign w:val="center"/>
          </w:tcPr>
          <w:p w14:paraId="37E4D4BD" w14:textId="77777777" w:rsidR="001047B3" w:rsidRDefault="001047B3" w:rsidP="00C95AD0">
            <w:pPr>
              <w:jc w:val="center"/>
            </w:pPr>
          </w:p>
        </w:tc>
        <w:tc>
          <w:tcPr>
            <w:tcW w:w="494" w:type="dxa"/>
            <w:vAlign w:val="center"/>
          </w:tcPr>
          <w:p w14:paraId="60C2385D" w14:textId="77777777" w:rsidR="001047B3" w:rsidRDefault="001047B3" w:rsidP="00C95AD0">
            <w:pPr>
              <w:jc w:val="center"/>
            </w:pPr>
          </w:p>
        </w:tc>
        <w:tc>
          <w:tcPr>
            <w:tcW w:w="494" w:type="dxa"/>
            <w:vAlign w:val="center"/>
          </w:tcPr>
          <w:p w14:paraId="15F94298" w14:textId="77777777" w:rsidR="001047B3" w:rsidRDefault="001047B3" w:rsidP="00C95AD0">
            <w:pPr>
              <w:jc w:val="center"/>
            </w:pPr>
          </w:p>
        </w:tc>
        <w:tc>
          <w:tcPr>
            <w:tcW w:w="494" w:type="dxa"/>
            <w:vAlign w:val="center"/>
          </w:tcPr>
          <w:p w14:paraId="167C8FE5" w14:textId="77777777" w:rsidR="001047B3" w:rsidRDefault="001047B3" w:rsidP="00C95AD0">
            <w:pPr>
              <w:jc w:val="center"/>
            </w:pPr>
          </w:p>
        </w:tc>
      </w:tr>
      <w:tr w:rsidR="001047B3" w14:paraId="57907ED3" w14:textId="77777777" w:rsidTr="001047B3">
        <w:tc>
          <w:tcPr>
            <w:tcW w:w="2014" w:type="dxa"/>
            <w:vMerge w:val="restart"/>
            <w:vAlign w:val="center"/>
          </w:tcPr>
          <w:p w14:paraId="4859BCF1" w14:textId="77777777" w:rsidR="001047B3" w:rsidRDefault="001047B3" w:rsidP="00C95AD0">
            <w:r>
              <w:t>Investing in biodiversity</w:t>
            </w:r>
          </w:p>
        </w:tc>
        <w:tc>
          <w:tcPr>
            <w:tcW w:w="2039" w:type="dxa"/>
            <w:vAlign w:val="center"/>
          </w:tcPr>
          <w:p w14:paraId="35B24CAF" w14:textId="77777777" w:rsidR="001047B3" w:rsidRDefault="001047B3" w:rsidP="00C95AD0">
            <w:r>
              <w:t>Designing the biodiversity conservation projects</w:t>
            </w:r>
          </w:p>
        </w:tc>
        <w:tc>
          <w:tcPr>
            <w:tcW w:w="1506" w:type="dxa"/>
            <w:vAlign w:val="center"/>
          </w:tcPr>
          <w:p w14:paraId="143494F7" w14:textId="77777777" w:rsidR="001047B3" w:rsidRDefault="001047B3" w:rsidP="00C95AD0">
            <w:r>
              <w:t>MMDE</w:t>
            </w:r>
          </w:p>
        </w:tc>
        <w:tc>
          <w:tcPr>
            <w:tcW w:w="494" w:type="dxa"/>
            <w:vAlign w:val="center"/>
          </w:tcPr>
          <w:p w14:paraId="404394D5" w14:textId="77777777" w:rsidR="001047B3" w:rsidRDefault="001047B3" w:rsidP="00C95AD0">
            <w:pPr>
              <w:jc w:val="center"/>
            </w:pPr>
          </w:p>
        </w:tc>
        <w:tc>
          <w:tcPr>
            <w:tcW w:w="494" w:type="dxa"/>
            <w:vAlign w:val="center"/>
          </w:tcPr>
          <w:p w14:paraId="7BB185B1" w14:textId="77777777" w:rsidR="001047B3" w:rsidRDefault="001047B3" w:rsidP="00C95AD0">
            <w:pPr>
              <w:jc w:val="center"/>
            </w:pPr>
          </w:p>
        </w:tc>
        <w:tc>
          <w:tcPr>
            <w:tcW w:w="494" w:type="dxa"/>
            <w:shd w:val="clear" w:color="auto" w:fill="BFBFBF" w:themeFill="background1" w:themeFillShade="BF"/>
            <w:vAlign w:val="center"/>
          </w:tcPr>
          <w:p w14:paraId="6462E118" w14:textId="77777777" w:rsidR="001047B3" w:rsidRDefault="001047B3" w:rsidP="00C95AD0">
            <w:pPr>
              <w:jc w:val="center"/>
            </w:pPr>
          </w:p>
        </w:tc>
        <w:tc>
          <w:tcPr>
            <w:tcW w:w="494" w:type="dxa"/>
            <w:shd w:val="clear" w:color="auto" w:fill="BFBFBF" w:themeFill="background1" w:themeFillShade="BF"/>
            <w:vAlign w:val="center"/>
          </w:tcPr>
          <w:p w14:paraId="4062310E" w14:textId="77777777" w:rsidR="001047B3" w:rsidRDefault="001047B3" w:rsidP="00C95AD0">
            <w:pPr>
              <w:jc w:val="center"/>
            </w:pPr>
          </w:p>
        </w:tc>
        <w:tc>
          <w:tcPr>
            <w:tcW w:w="494" w:type="dxa"/>
            <w:shd w:val="clear" w:color="auto" w:fill="FFFFFF" w:themeFill="background1"/>
            <w:vAlign w:val="center"/>
          </w:tcPr>
          <w:p w14:paraId="1200D00A" w14:textId="77777777" w:rsidR="001047B3" w:rsidRDefault="001047B3" w:rsidP="00C95AD0">
            <w:pPr>
              <w:jc w:val="center"/>
            </w:pPr>
          </w:p>
        </w:tc>
        <w:tc>
          <w:tcPr>
            <w:tcW w:w="494" w:type="dxa"/>
            <w:shd w:val="clear" w:color="auto" w:fill="FFFFFF" w:themeFill="background1"/>
            <w:vAlign w:val="center"/>
          </w:tcPr>
          <w:p w14:paraId="4439BCF7" w14:textId="77777777" w:rsidR="001047B3" w:rsidRDefault="001047B3" w:rsidP="00C95AD0">
            <w:pPr>
              <w:jc w:val="center"/>
            </w:pPr>
          </w:p>
        </w:tc>
        <w:tc>
          <w:tcPr>
            <w:tcW w:w="494" w:type="dxa"/>
            <w:shd w:val="clear" w:color="auto" w:fill="FFFFFF" w:themeFill="background1"/>
            <w:vAlign w:val="center"/>
          </w:tcPr>
          <w:p w14:paraId="76132572" w14:textId="77777777" w:rsidR="001047B3" w:rsidRDefault="001047B3" w:rsidP="00C95AD0">
            <w:pPr>
              <w:jc w:val="center"/>
            </w:pPr>
          </w:p>
        </w:tc>
      </w:tr>
      <w:tr w:rsidR="001047B3" w14:paraId="5C274B81" w14:textId="77777777" w:rsidTr="001047B3">
        <w:tc>
          <w:tcPr>
            <w:tcW w:w="2014" w:type="dxa"/>
            <w:vMerge/>
            <w:vAlign w:val="center"/>
          </w:tcPr>
          <w:p w14:paraId="5D5E3A98" w14:textId="77777777" w:rsidR="001047B3" w:rsidRDefault="001047B3" w:rsidP="00C95AD0"/>
        </w:tc>
        <w:tc>
          <w:tcPr>
            <w:tcW w:w="2039" w:type="dxa"/>
            <w:vAlign w:val="center"/>
          </w:tcPr>
          <w:p w14:paraId="02FAC02D" w14:textId="77777777" w:rsidR="001047B3" w:rsidRDefault="001047B3" w:rsidP="00C95AD0">
            <w:r>
              <w:t>Implementation of the approved projects</w:t>
            </w:r>
          </w:p>
        </w:tc>
        <w:tc>
          <w:tcPr>
            <w:tcW w:w="1506" w:type="dxa"/>
            <w:vAlign w:val="center"/>
          </w:tcPr>
          <w:p w14:paraId="68AB217D" w14:textId="77777777" w:rsidR="001047B3" w:rsidRDefault="001047B3" w:rsidP="00C95AD0">
            <w:r>
              <w:t>MMDE</w:t>
            </w:r>
          </w:p>
        </w:tc>
        <w:tc>
          <w:tcPr>
            <w:tcW w:w="494" w:type="dxa"/>
            <w:vAlign w:val="center"/>
          </w:tcPr>
          <w:p w14:paraId="08309986" w14:textId="77777777" w:rsidR="001047B3" w:rsidRDefault="001047B3" w:rsidP="00C95AD0">
            <w:pPr>
              <w:jc w:val="center"/>
            </w:pPr>
          </w:p>
        </w:tc>
        <w:tc>
          <w:tcPr>
            <w:tcW w:w="494" w:type="dxa"/>
            <w:vAlign w:val="center"/>
          </w:tcPr>
          <w:p w14:paraId="4B7E5D61" w14:textId="77777777" w:rsidR="001047B3" w:rsidRDefault="001047B3" w:rsidP="00C95AD0">
            <w:pPr>
              <w:jc w:val="center"/>
            </w:pPr>
          </w:p>
        </w:tc>
        <w:tc>
          <w:tcPr>
            <w:tcW w:w="494" w:type="dxa"/>
            <w:shd w:val="clear" w:color="auto" w:fill="BFBFBF" w:themeFill="background1" w:themeFillShade="BF"/>
            <w:vAlign w:val="center"/>
          </w:tcPr>
          <w:p w14:paraId="49D138D1" w14:textId="77777777" w:rsidR="001047B3" w:rsidRDefault="001047B3" w:rsidP="00C95AD0">
            <w:pPr>
              <w:jc w:val="center"/>
            </w:pPr>
          </w:p>
        </w:tc>
        <w:tc>
          <w:tcPr>
            <w:tcW w:w="494" w:type="dxa"/>
            <w:shd w:val="clear" w:color="auto" w:fill="BFBFBF" w:themeFill="background1" w:themeFillShade="BF"/>
            <w:vAlign w:val="center"/>
          </w:tcPr>
          <w:p w14:paraId="7A7D76F3" w14:textId="77777777" w:rsidR="001047B3" w:rsidRDefault="001047B3" w:rsidP="00C95AD0">
            <w:pPr>
              <w:jc w:val="center"/>
            </w:pPr>
          </w:p>
        </w:tc>
        <w:tc>
          <w:tcPr>
            <w:tcW w:w="494" w:type="dxa"/>
            <w:vAlign w:val="center"/>
          </w:tcPr>
          <w:p w14:paraId="3A493DFE" w14:textId="77777777" w:rsidR="001047B3" w:rsidRDefault="001047B3" w:rsidP="00C95AD0">
            <w:pPr>
              <w:jc w:val="center"/>
            </w:pPr>
          </w:p>
        </w:tc>
        <w:tc>
          <w:tcPr>
            <w:tcW w:w="494" w:type="dxa"/>
            <w:vAlign w:val="center"/>
          </w:tcPr>
          <w:p w14:paraId="26DBFA8A" w14:textId="77777777" w:rsidR="001047B3" w:rsidRDefault="001047B3" w:rsidP="00C95AD0">
            <w:pPr>
              <w:jc w:val="center"/>
            </w:pPr>
          </w:p>
        </w:tc>
        <w:tc>
          <w:tcPr>
            <w:tcW w:w="494" w:type="dxa"/>
            <w:vAlign w:val="center"/>
          </w:tcPr>
          <w:p w14:paraId="60273BA0" w14:textId="77777777" w:rsidR="001047B3" w:rsidRDefault="001047B3" w:rsidP="00C95AD0">
            <w:pPr>
              <w:jc w:val="center"/>
            </w:pPr>
          </w:p>
        </w:tc>
      </w:tr>
      <w:tr w:rsidR="001047B3" w14:paraId="138CADD5" w14:textId="77777777" w:rsidTr="001047B3">
        <w:tc>
          <w:tcPr>
            <w:tcW w:w="2014" w:type="dxa"/>
            <w:vMerge/>
            <w:vAlign w:val="center"/>
          </w:tcPr>
          <w:p w14:paraId="6A8880A8" w14:textId="77777777" w:rsidR="001047B3" w:rsidRDefault="001047B3" w:rsidP="00C95AD0"/>
        </w:tc>
        <w:tc>
          <w:tcPr>
            <w:tcW w:w="2039" w:type="dxa"/>
            <w:vAlign w:val="center"/>
          </w:tcPr>
          <w:p w14:paraId="11BCA359" w14:textId="77777777" w:rsidR="001047B3" w:rsidRDefault="001047B3" w:rsidP="00C95AD0">
            <w:r>
              <w:t>Monitoring and evaluating the scheme</w:t>
            </w:r>
          </w:p>
        </w:tc>
        <w:tc>
          <w:tcPr>
            <w:tcW w:w="1506" w:type="dxa"/>
            <w:vAlign w:val="center"/>
          </w:tcPr>
          <w:p w14:paraId="0CD3398B" w14:textId="77777777" w:rsidR="001047B3" w:rsidRDefault="001047B3" w:rsidP="00C95AD0">
            <w:r>
              <w:t>MMDE</w:t>
            </w:r>
          </w:p>
        </w:tc>
        <w:tc>
          <w:tcPr>
            <w:tcW w:w="494" w:type="dxa"/>
            <w:vAlign w:val="center"/>
          </w:tcPr>
          <w:p w14:paraId="1E53436B" w14:textId="77777777" w:rsidR="001047B3" w:rsidRDefault="001047B3" w:rsidP="00C95AD0">
            <w:pPr>
              <w:jc w:val="center"/>
            </w:pPr>
          </w:p>
        </w:tc>
        <w:tc>
          <w:tcPr>
            <w:tcW w:w="494" w:type="dxa"/>
            <w:vAlign w:val="center"/>
          </w:tcPr>
          <w:p w14:paraId="7B4E2301" w14:textId="77777777" w:rsidR="001047B3" w:rsidRDefault="001047B3" w:rsidP="00C95AD0">
            <w:pPr>
              <w:jc w:val="center"/>
            </w:pPr>
          </w:p>
        </w:tc>
        <w:tc>
          <w:tcPr>
            <w:tcW w:w="494" w:type="dxa"/>
            <w:vAlign w:val="center"/>
          </w:tcPr>
          <w:p w14:paraId="7FA1D3F9" w14:textId="77777777" w:rsidR="001047B3" w:rsidRDefault="001047B3" w:rsidP="00C95AD0">
            <w:pPr>
              <w:jc w:val="center"/>
            </w:pPr>
          </w:p>
        </w:tc>
        <w:tc>
          <w:tcPr>
            <w:tcW w:w="494" w:type="dxa"/>
            <w:shd w:val="clear" w:color="auto" w:fill="BFBFBF" w:themeFill="background1" w:themeFillShade="BF"/>
            <w:vAlign w:val="center"/>
          </w:tcPr>
          <w:p w14:paraId="7E4DE5F9" w14:textId="77777777" w:rsidR="001047B3" w:rsidRDefault="001047B3" w:rsidP="00C95AD0">
            <w:pPr>
              <w:jc w:val="center"/>
            </w:pPr>
          </w:p>
        </w:tc>
        <w:tc>
          <w:tcPr>
            <w:tcW w:w="494" w:type="dxa"/>
            <w:shd w:val="clear" w:color="auto" w:fill="BFBFBF" w:themeFill="background1" w:themeFillShade="BF"/>
            <w:vAlign w:val="center"/>
          </w:tcPr>
          <w:p w14:paraId="0D7C7EAA" w14:textId="77777777" w:rsidR="001047B3" w:rsidRDefault="001047B3" w:rsidP="00C95AD0">
            <w:pPr>
              <w:jc w:val="center"/>
            </w:pPr>
          </w:p>
        </w:tc>
        <w:tc>
          <w:tcPr>
            <w:tcW w:w="494" w:type="dxa"/>
            <w:vAlign w:val="center"/>
          </w:tcPr>
          <w:p w14:paraId="7C140750" w14:textId="77777777" w:rsidR="001047B3" w:rsidRDefault="001047B3" w:rsidP="00C95AD0">
            <w:pPr>
              <w:jc w:val="center"/>
            </w:pPr>
          </w:p>
        </w:tc>
        <w:tc>
          <w:tcPr>
            <w:tcW w:w="494" w:type="dxa"/>
            <w:vAlign w:val="center"/>
          </w:tcPr>
          <w:p w14:paraId="276973D0" w14:textId="77777777" w:rsidR="001047B3" w:rsidRDefault="001047B3" w:rsidP="00C95AD0">
            <w:pPr>
              <w:jc w:val="center"/>
            </w:pPr>
          </w:p>
        </w:tc>
      </w:tr>
      <w:tr w:rsidR="008217AB" w14:paraId="42E2DEE2" w14:textId="77777777" w:rsidTr="008217AB">
        <w:tc>
          <w:tcPr>
            <w:tcW w:w="2014" w:type="dxa"/>
            <w:vAlign w:val="center"/>
          </w:tcPr>
          <w:p w14:paraId="16F591DC" w14:textId="77777777" w:rsidR="008217AB" w:rsidRDefault="008217AB" w:rsidP="00C95AD0">
            <w:r>
              <w:t>Budget</w:t>
            </w:r>
          </w:p>
        </w:tc>
        <w:tc>
          <w:tcPr>
            <w:tcW w:w="7003" w:type="dxa"/>
            <w:gridSpan w:val="9"/>
            <w:vAlign w:val="center"/>
          </w:tcPr>
          <w:p w14:paraId="65E9515A" w14:textId="77777777" w:rsidR="008217AB" w:rsidRDefault="008217AB" w:rsidP="008217AB">
            <w:r>
              <w:t>US$ 30,000</w:t>
            </w:r>
          </w:p>
        </w:tc>
      </w:tr>
      <w:tr w:rsidR="008217AB" w14:paraId="7915223A" w14:textId="77777777" w:rsidTr="008217AB">
        <w:tc>
          <w:tcPr>
            <w:tcW w:w="2014" w:type="dxa"/>
            <w:vAlign w:val="center"/>
          </w:tcPr>
          <w:p w14:paraId="148D613E" w14:textId="77777777" w:rsidR="008217AB" w:rsidRDefault="008217AB" w:rsidP="00C95AD0">
            <w:r>
              <w:t>Financial result</w:t>
            </w:r>
          </w:p>
        </w:tc>
        <w:tc>
          <w:tcPr>
            <w:tcW w:w="7003" w:type="dxa"/>
            <w:gridSpan w:val="9"/>
            <w:vAlign w:val="center"/>
          </w:tcPr>
          <w:p w14:paraId="0ED83289" w14:textId="12D0FDBD" w:rsidR="008217AB" w:rsidRDefault="0032677C" w:rsidP="008217AB">
            <w:r>
              <w:t>US$ 4</w:t>
            </w:r>
            <w:r w:rsidR="008217AB">
              <w:t xml:space="preserve"> million (assuming </w:t>
            </w:r>
            <w:r w:rsidR="00E45282">
              <w:t xml:space="preserve">voluntarily </w:t>
            </w:r>
            <w:r w:rsidR="008217AB">
              <w:t>10% of existing v</w:t>
            </w:r>
            <w:r w:rsidR="00E45282">
              <w:t>ehicle fleet</w:t>
            </w:r>
            <w:r w:rsidR="008217AB">
              <w:t>)</w:t>
            </w:r>
          </w:p>
          <w:p w14:paraId="17176F4A" w14:textId="36FA8FB6" w:rsidR="008217AB" w:rsidRDefault="0032677C" w:rsidP="0032677C">
            <w:r>
              <w:t>US$ 7</w:t>
            </w:r>
            <w:r w:rsidR="008217AB">
              <w:t xml:space="preserve"> million </w:t>
            </w:r>
            <w:r w:rsidR="008A6BD8">
              <w:t xml:space="preserve">for </w:t>
            </w:r>
            <w:proofErr w:type="gramStart"/>
            <w:r>
              <w:t>five year</w:t>
            </w:r>
            <w:proofErr w:type="gramEnd"/>
            <w:r>
              <w:t xml:space="preserve"> period of </w:t>
            </w:r>
            <w:r w:rsidR="008A6BD8">
              <w:t>202</w:t>
            </w:r>
            <w:r>
              <w:t>0</w:t>
            </w:r>
            <w:r w:rsidR="008A6BD8">
              <w:t>-2024</w:t>
            </w:r>
            <w:r w:rsidR="008217AB">
              <w:t xml:space="preserve"> (assuming 5</w:t>
            </w:r>
            <w:r w:rsidR="00E45282">
              <w:t>0% of newly registered vehicles</w:t>
            </w:r>
            <w:r w:rsidR="008A6BD8">
              <w:t xml:space="preserve"> purchase </w:t>
            </w:r>
            <w:r>
              <w:t>the conservation</w:t>
            </w:r>
            <w:r w:rsidR="008A6BD8">
              <w:t xml:space="preserve"> number plates</w:t>
            </w:r>
            <w:r w:rsidR="008217AB">
              <w:t>)</w:t>
            </w:r>
          </w:p>
        </w:tc>
      </w:tr>
      <w:tr w:rsidR="008217AB" w14:paraId="0FFE63B0" w14:textId="77777777" w:rsidTr="008217AB">
        <w:tc>
          <w:tcPr>
            <w:tcW w:w="2014" w:type="dxa"/>
            <w:vAlign w:val="center"/>
          </w:tcPr>
          <w:p w14:paraId="3ACEFBB0" w14:textId="77777777" w:rsidR="008217AB" w:rsidRDefault="008217AB" w:rsidP="00C95AD0">
            <w:r>
              <w:t>Notes</w:t>
            </w:r>
          </w:p>
        </w:tc>
        <w:tc>
          <w:tcPr>
            <w:tcW w:w="7003" w:type="dxa"/>
            <w:gridSpan w:val="9"/>
            <w:vAlign w:val="center"/>
          </w:tcPr>
          <w:p w14:paraId="319A6914" w14:textId="77777777" w:rsidR="008217AB" w:rsidRDefault="00DE5C05" w:rsidP="008217AB">
            <w:r>
              <w:t>TAC - Technical Advisory Committee</w:t>
            </w:r>
          </w:p>
          <w:p w14:paraId="0BBDEB73" w14:textId="77777777" w:rsidR="00DE5C05" w:rsidRDefault="00DE5C05" w:rsidP="008217AB">
            <w:r>
              <w:t>DMT - Department of Motor Traffic</w:t>
            </w:r>
          </w:p>
        </w:tc>
      </w:tr>
    </w:tbl>
    <w:p w14:paraId="2D43004D" w14:textId="77777777" w:rsidR="00C95AD0" w:rsidRDefault="00C95AD0" w:rsidP="00E80C6A">
      <w:pPr>
        <w:jc w:val="both"/>
      </w:pPr>
    </w:p>
    <w:p w14:paraId="68BEF472" w14:textId="41F3164D" w:rsidR="00587F16" w:rsidRPr="00A212BE" w:rsidRDefault="00796528" w:rsidP="008D23E4">
      <w:pPr>
        <w:pStyle w:val="Heading4"/>
      </w:pPr>
      <w:r>
        <w:t>9B. Conservation g</w:t>
      </w:r>
      <w:r w:rsidR="00587F16" w:rsidRPr="00A212BE">
        <w:t>reen bank cards</w:t>
      </w:r>
    </w:p>
    <w:p w14:paraId="00B4A22B" w14:textId="77777777" w:rsidR="00587F16" w:rsidRDefault="009A3C28" w:rsidP="00BB5D98">
      <w:pPr>
        <w:jc w:val="both"/>
      </w:pPr>
      <w:r>
        <w:t xml:space="preserve">The finance solution is to introduce </w:t>
      </w:r>
      <w:r w:rsidRPr="009A3C28">
        <w:t xml:space="preserve">voluntary Green Bank Cards </w:t>
      </w:r>
      <w:r>
        <w:t xml:space="preserve">(credit cards and debit cards) </w:t>
      </w:r>
      <w:r w:rsidRPr="009A3C28">
        <w:t>for the purpose of mobilizing finances for biodiversity conservation</w:t>
      </w:r>
      <w:r>
        <w:t xml:space="preserve">. </w:t>
      </w:r>
    </w:p>
    <w:p w14:paraId="2CBDFC8D" w14:textId="77777777" w:rsidR="00FE6A10" w:rsidRDefault="00FE6A10" w:rsidP="00BB5D98">
      <w:pPr>
        <w:jc w:val="both"/>
      </w:pPr>
      <w:r>
        <w:t>Objective</w:t>
      </w:r>
    </w:p>
    <w:p w14:paraId="0F8E7828" w14:textId="77777777" w:rsidR="00FE6A10" w:rsidRDefault="00FE6A10" w:rsidP="00BB5D98">
      <w:pPr>
        <w:jc w:val="both"/>
      </w:pPr>
      <w:r w:rsidRPr="00FE6A10">
        <w:t>To mobilize funds for investing in biodiversity and to promote social recognition of caring environment</w:t>
      </w:r>
      <w:r>
        <w:t>.</w:t>
      </w:r>
    </w:p>
    <w:p w14:paraId="67A447B8" w14:textId="77777777" w:rsidR="009A3C28" w:rsidRDefault="009A3C28" w:rsidP="00BB5D98">
      <w:pPr>
        <w:jc w:val="both"/>
      </w:pPr>
      <w:r>
        <w:t>Description</w:t>
      </w:r>
    </w:p>
    <w:p w14:paraId="1E9084BE" w14:textId="696B085A" w:rsidR="00BF5AA0" w:rsidRDefault="007475B1" w:rsidP="00BF5AA0">
      <w:pPr>
        <w:jc w:val="both"/>
      </w:pPr>
      <w:r>
        <w:t>The proposal is for s</w:t>
      </w:r>
      <w:r w:rsidRPr="007475B1">
        <w:t xml:space="preserve">pecially branded bank cards - credit cards and debit cards to be supplied at the point of subscribing new cards or renewing the existing cards at an extra premium above their normal fees to the users. </w:t>
      </w:r>
      <w:r w:rsidR="00BF5AA0">
        <w:t xml:space="preserve">Out of 15 million adult population in Sri Lanka, 82.7 percent holds bank accounts, </w:t>
      </w:r>
      <w:r w:rsidR="00BF5AA0" w:rsidRPr="00BF5AA0">
        <w:t>according to the financial inclusion data of the World Bank (2015)</w:t>
      </w:r>
      <w:r w:rsidR="00BF5AA0">
        <w:t xml:space="preserve">. Given the high financial inclusion of the Sri Lankan society, there are approximately 4 million debit cards and 1.5 million credit cards. The amount of money that the bank card users pay is channeled towards a special fund for biodiversity conservation purposes. The scheme can be marketed with additional incentives to both the banks and the bank customers. </w:t>
      </w:r>
    </w:p>
    <w:p w14:paraId="29413F85" w14:textId="2904B66C" w:rsidR="00BF5AA0" w:rsidRDefault="00BF5AA0" w:rsidP="00BF5AA0">
      <w:pPr>
        <w:jc w:val="both"/>
      </w:pPr>
      <w:r>
        <w:t xml:space="preserve">The biodiversity fund can be either a government fund maintained by the Ministry of Finance (MF) or otherwise or a special bank fund maintained by the individual banks themselves. </w:t>
      </w:r>
      <w:r w:rsidR="00B93295">
        <w:t>The proposed</w:t>
      </w:r>
      <w:r w:rsidR="00B93295" w:rsidRPr="009A3C28">
        <w:t xml:space="preserve"> finance solution </w:t>
      </w:r>
      <w:r w:rsidR="00B93295">
        <w:t xml:space="preserve">is </w:t>
      </w:r>
      <w:r w:rsidR="00B93295" w:rsidRPr="009A3C28">
        <w:t>for implementation by the commercial banks with relatively lower set up cost and high financial returns</w:t>
      </w:r>
      <w:r w:rsidR="00B93295">
        <w:t>. It also requires minimum technical assistance and government’s involvement in implementing the initiative</w:t>
      </w:r>
      <w:r w:rsidR="00A87778">
        <w:t xml:space="preserve"> because issuing bank cards is already commonly practiced by banks</w:t>
      </w:r>
      <w:r w:rsidR="00B93295" w:rsidRPr="009A3C28">
        <w:t>.</w:t>
      </w:r>
    </w:p>
    <w:p w14:paraId="6454D01B" w14:textId="34D71983" w:rsidR="008507E7" w:rsidRDefault="00BF5AA0" w:rsidP="005B481D">
      <w:pPr>
        <w:jc w:val="both"/>
      </w:pPr>
      <w:r>
        <w:t xml:space="preserve">In Sri Lanka a green bank cards scheme has not yet been </w:t>
      </w:r>
      <w:r w:rsidR="00B93295">
        <w:t xml:space="preserve">tested </w:t>
      </w:r>
      <w:r>
        <w:t>so that it requires a consultation process and a study about the potential success of the initiative. It is proposed to carry out a detailed feasibility study to understand the potential and process to develop a mechanism to generate finances through green bank cards scheme, the fund management, and fund utilization for the purpose of biodiversity conservation.</w:t>
      </w:r>
      <w:r w:rsidR="005B481D">
        <w:t xml:space="preserve"> </w:t>
      </w:r>
      <w:r w:rsidR="008507E7">
        <w:t xml:space="preserve">The green </w:t>
      </w:r>
      <w:r w:rsidR="005B481D">
        <w:t xml:space="preserve">bank </w:t>
      </w:r>
      <w:r w:rsidR="008507E7">
        <w:t xml:space="preserve">cards can feature some </w:t>
      </w:r>
      <w:r w:rsidR="005B481D">
        <w:t xml:space="preserve">endemic and/or </w:t>
      </w:r>
      <w:r w:rsidR="008507E7">
        <w:t>endangered species or endemic plants</w:t>
      </w:r>
      <w:r w:rsidR="005B481D">
        <w:t>,</w:t>
      </w:r>
      <w:r w:rsidR="008507E7">
        <w:t xml:space="preserve"> or a protected area</w:t>
      </w:r>
      <w:r w:rsidR="005B481D">
        <w:t xml:space="preserve">, </w:t>
      </w:r>
      <w:r w:rsidR="008507E7">
        <w:t xml:space="preserve">connoting specific beneficiaries.   </w:t>
      </w:r>
    </w:p>
    <w:p w14:paraId="24C0920C" w14:textId="170FFBE3" w:rsidR="008507E7" w:rsidRDefault="00BD02B4" w:rsidP="00BF5AA0">
      <w:pPr>
        <w:jc w:val="both"/>
      </w:pPr>
      <w:r>
        <w:t xml:space="preserve">There has so far been no similar banking practice in Sri Lanka. However, the proposal is expected to be attractive to the commercial banks in the country which are pioneering with innovative sustainable banking practices. </w:t>
      </w:r>
      <w:r w:rsidR="00B93295">
        <w:t xml:space="preserve">In fact, </w:t>
      </w:r>
      <w:r>
        <w:t xml:space="preserve">interviews with the relevant bankers </w:t>
      </w:r>
      <w:r w:rsidR="00B93295">
        <w:t xml:space="preserve">revealed that the initiative is </w:t>
      </w:r>
      <w:r>
        <w:t xml:space="preserve">welcomed </w:t>
      </w:r>
      <w:r w:rsidR="00B93295">
        <w:t xml:space="preserve">especially amongst the </w:t>
      </w:r>
      <w:r>
        <w:t xml:space="preserve">more affluent and knowledgeable banking customers. The proposal </w:t>
      </w:r>
      <w:r w:rsidR="00B93295">
        <w:t xml:space="preserve">is </w:t>
      </w:r>
      <w:r>
        <w:t xml:space="preserve">also consistent with the Central Bank’s green lending finance solution. </w:t>
      </w:r>
    </w:p>
    <w:p w14:paraId="0AAFA1F7" w14:textId="77777777" w:rsidR="00BF5AA0" w:rsidRDefault="00BF5AA0" w:rsidP="00BF5AA0">
      <w:pPr>
        <w:jc w:val="both"/>
      </w:pPr>
      <w:r>
        <w:t>Business case</w:t>
      </w:r>
    </w:p>
    <w:p w14:paraId="0EE53EC6" w14:textId="5B3EE5F7" w:rsidR="00BC708A" w:rsidRDefault="00875848" w:rsidP="00BF5AA0">
      <w:pPr>
        <w:jc w:val="both"/>
      </w:pPr>
      <w:r>
        <w:t xml:space="preserve">The green </w:t>
      </w:r>
      <w:r w:rsidR="00B93295">
        <w:t xml:space="preserve">credit/debit card </w:t>
      </w:r>
      <w:r>
        <w:t xml:space="preserve">scheme is expected to be welcome by the Central Bank of Sri Lanka which has become a member of the </w:t>
      </w:r>
      <w:r w:rsidR="00BC708A">
        <w:t xml:space="preserve">Sustainable Banking Network (SBN) and, has initiated with the BIOFIN project to prepare a Road Map for “green financing”. For the commercial banks which have shown their interest in moving towards green lending practices on their own, the proposed Green Bank Cards scheme is a value addition. </w:t>
      </w:r>
    </w:p>
    <w:p w14:paraId="0BA5F4B2" w14:textId="77777777" w:rsidR="00BF5AA0" w:rsidRDefault="00BC708A" w:rsidP="00BF5AA0">
      <w:pPr>
        <w:jc w:val="both"/>
      </w:pPr>
      <w:r>
        <w:t>The commercial banks will have an opportunity to improve their competitive edge locally and internationally demonstrating their interest in biodiversity conservation. The bank customers will also enhance their social recognition by using green bank cards. For the government</w:t>
      </w:r>
      <w:r w:rsidR="004F1BEE">
        <w:t xml:space="preserve"> too</w:t>
      </w:r>
      <w:r>
        <w:t xml:space="preserve">, this is </w:t>
      </w:r>
      <w:r w:rsidR="004F1BEE">
        <w:t xml:space="preserve">a </w:t>
      </w:r>
      <w:r>
        <w:t>less</w:t>
      </w:r>
      <w:r w:rsidR="004F1BEE">
        <w:t>-</w:t>
      </w:r>
      <w:r>
        <w:t xml:space="preserve">burdensome </w:t>
      </w:r>
      <w:r w:rsidR="004F1BEE">
        <w:t>scheme</w:t>
      </w:r>
      <w:r>
        <w:t xml:space="preserve"> of generating additional funds for biodiversity conservation.</w:t>
      </w:r>
    </w:p>
    <w:p w14:paraId="78A8FE11" w14:textId="77777777" w:rsidR="00587F16" w:rsidRDefault="00BC708A" w:rsidP="00BB5D98">
      <w:pPr>
        <w:jc w:val="both"/>
      </w:pPr>
      <w:r>
        <w:t>Responsibility</w:t>
      </w:r>
    </w:p>
    <w:p w14:paraId="0627D53B" w14:textId="77777777" w:rsidR="00BC708A" w:rsidRDefault="00904369" w:rsidP="00BB5D98">
      <w:pPr>
        <w:jc w:val="both"/>
      </w:pPr>
      <w:r>
        <w:t>The commercial banks are informed and provided with guidelines to issue green bank cards to the customers as a voluntary option and, to raise funds for biodiversity conservation. Fund management can be either by the government (Ministry of Finance or otherwise) or by the commercial banks themselves. Fund utilization is for conservation of terrestrial and marine biodiversity which can be carried out either by the respective government departme</w:t>
      </w:r>
      <w:r w:rsidR="00B839E2">
        <w:t>nts or by other recognized parties</w:t>
      </w:r>
      <w:r>
        <w:t>.</w:t>
      </w:r>
    </w:p>
    <w:p w14:paraId="602D4A61" w14:textId="76F83779" w:rsidR="005B481D" w:rsidRDefault="005B481D" w:rsidP="00BB5D98">
      <w:pPr>
        <w:jc w:val="both"/>
      </w:pPr>
      <w:r>
        <w:t>Financial result</w:t>
      </w:r>
    </w:p>
    <w:p w14:paraId="05931779" w14:textId="3DD0AD4D" w:rsidR="005B481D" w:rsidRDefault="005B481D" w:rsidP="00BB5D98">
      <w:pPr>
        <w:jc w:val="both"/>
      </w:pPr>
      <w:r w:rsidRPr="005B481D">
        <w:t>Finance mobili</w:t>
      </w:r>
      <w:r>
        <w:t>zation is estimated to be high because</w:t>
      </w:r>
      <w:r w:rsidRPr="005B481D">
        <w:t xml:space="preserve"> there are about 4 million deb</w:t>
      </w:r>
      <w:r>
        <w:t>it cards and 1.5 million credit</w:t>
      </w:r>
      <w:r w:rsidRPr="005B481D">
        <w:t xml:space="preserve"> cards in Sri Lanka. Assuming a moderate premium of LKR 100 pay</w:t>
      </w:r>
      <w:r>
        <w:t>ment</w:t>
      </w:r>
      <w:r w:rsidRPr="005B481D">
        <w:t xml:space="preserve"> at the point of next “renewal” of these debit and credit cards is estimated to generate LKR 550 million or equivalent to US$ 3.5 million. In addition, new</w:t>
      </w:r>
      <w:r>
        <w:t>ly</w:t>
      </w:r>
      <w:r w:rsidRPr="005B481D">
        <w:t xml:space="preserve"> issued debit and credit cards will also contribute to the conservation fund.</w:t>
      </w:r>
    </w:p>
    <w:p w14:paraId="09813B08" w14:textId="7AB96429" w:rsidR="001109AD" w:rsidRDefault="001109AD" w:rsidP="00BB5D98">
      <w:pPr>
        <w:jc w:val="both"/>
      </w:pPr>
      <w:r>
        <w:t xml:space="preserve">The proposal aimed at building a conservation fund </w:t>
      </w:r>
      <w:r w:rsidRPr="001109AD">
        <w:t xml:space="preserve">can be utilized </w:t>
      </w:r>
      <w:r>
        <w:t>for various</w:t>
      </w:r>
      <w:r w:rsidRPr="001109AD">
        <w:t xml:space="preserve"> biodiversity projects </w:t>
      </w:r>
      <w:r>
        <w:t>in collaboration with the relevant government agencies which can play an important role in technical assistance and implementation</w:t>
      </w:r>
      <w:r w:rsidRPr="001109AD">
        <w:t xml:space="preserve">. </w:t>
      </w:r>
      <w:r>
        <w:t>Accordingly</w:t>
      </w:r>
      <w:r w:rsidRPr="001109AD">
        <w:t>, the fund utilization is recommended in line with achieving the NBSAP targets</w:t>
      </w:r>
      <w:r>
        <w:t xml:space="preserve">, while </w:t>
      </w:r>
      <w:r w:rsidRPr="001109AD">
        <w:t xml:space="preserve">reducing </w:t>
      </w:r>
      <w:r>
        <w:t xml:space="preserve">the </w:t>
      </w:r>
      <w:r w:rsidRPr="001109AD">
        <w:t xml:space="preserve">loss of species and habitats (Targets 4 and 6) and, enhancing ecosystems capacity (Target 11) are among the </w:t>
      </w:r>
      <w:r>
        <w:t>prioritized areas for biodiversity spending</w:t>
      </w:r>
      <w:r w:rsidRPr="001109AD">
        <w:t>.</w:t>
      </w:r>
    </w:p>
    <w:p w14:paraId="412BE012" w14:textId="77777777" w:rsidR="001E4AB9" w:rsidRDefault="001E4AB9" w:rsidP="00BB5D98">
      <w:pPr>
        <w:jc w:val="both"/>
      </w:pPr>
      <w:r>
        <w:t>Action plan</w:t>
      </w:r>
    </w:p>
    <w:tbl>
      <w:tblPr>
        <w:tblStyle w:val="TableGrid"/>
        <w:tblW w:w="0" w:type="auto"/>
        <w:tblLook w:val="04A0" w:firstRow="1" w:lastRow="0" w:firstColumn="1" w:lastColumn="0" w:noHBand="0" w:noVBand="1"/>
      </w:tblPr>
      <w:tblGrid>
        <w:gridCol w:w="2014"/>
        <w:gridCol w:w="2039"/>
        <w:gridCol w:w="1506"/>
        <w:gridCol w:w="494"/>
        <w:gridCol w:w="494"/>
        <w:gridCol w:w="494"/>
        <w:gridCol w:w="494"/>
        <w:gridCol w:w="494"/>
        <w:gridCol w:w="494"/>
        <w:gridCol w:w="494"/>
      </w:tblGrid>
      <w:tr w:rsidR="008D0CC0" w14:paraId="468AEC3C" w14:textId="77777777" w:rsidTr="00883C82">
        <w:tc>
          <w:tcPr>
            <w:tcW w:w="2014" w:type="dxa"/>
            <w:vMerge w:val="restart"/>
            <w:vAlign w:val="center"/>
          </w:tcPr>
          <w:p w14:paraId="4B3FEFC0" w14:textId="77777777" w:rsidR="008D0CC0" w:rsidRPr="00C27851" w:rsidRDefault="008D0CC0" w:rsidP="00883C82">
            <w:pPr>
              <w:jc w:val="center"/>
            </w:pPr>
            <w:r w:rsidRPr="00C27851">
              <w:t>Output</w:t>
            </w:r>
          </w:p>
        </w:tc>
        <w:tc>
          <w:tcPr>
            <w:tcW w:w="2039" w:type="dxa"/>
            <w:vMerge w:val="restart"/>
            <w:vAlign w:val="center"/>
          </w:tcPr>
          <w:p w14:paraId="6EDD7117" w14:textId="77777777" w:rsidR="008D0CC0" w:rsidRPr="00C27851" w:rsidRDefault="008D0CC0" w:rsidP="00883C82">
            <w:pPr>
              <w:jc w:val="center"/>
            </w:pPr>
            <w:r w:rsidRPr="00C27851">
              <w:t>Main activities</w:t>
            </w:r>
          </w:p>
        </w:tc>
        <w:tc>
          <w:tcPr>
            <w:tcW w:w="1506" w:type="dxa"/>
            <w:vMerge w:val="restart"/>
            <w:vAlign w:val="center"/>
          </w:tcPr>
          <w:p w14:paraId="40485F1D" w14:textId="77777777" w:rsidR="008D0CC0" w:rsidRPr="00C27851" w:rsidRDefault="008D0CC0" w:rsidP="00883C82">
            <w:pPr>
              <w:jc w:val="center"/>
            </w:pPr>
            <w:r w:rsidRPr="00C27851">
              <w:t>Responsibility</w:t>
            </w:r>
          </w:p>
        </w:tc>
        <w:tc>
          <w:tcPr>
            <w:tcW w:w="3458" w:type="dxa"/>
            <w:gridSpan w:val="7"/>
            <w:vAlign w:val="center"/>
          </w:tcPr>
          <w:p w14:paraId="3375BAC5" w14:textId="77777777" w:rsidR="008D0CC0" w:rsidRPr="00C27851" w:rsidRDefault="008D0CC0" w:rsidP="00883C82">
            <w:pPr>
              <w:jc w:val="center"/>
            </w:pPr>
            <w:r w:rsidRPr="00C27851">
              <w:t>Year</w:t>
            </w:r>
          </w:p>
        </w:tc>
      </w:tr>
      <w:tr w:rsidR="008D0CC0" w14:paraId="5D620765" w14:textId="77777777" w:rsidTr="00883C82">
        <w:tc>
          <w:tcPr>
            <w:tcW w:w="2014" w:type="dxa"/>
            <w:vMerge/>
            <w:vAlign w:val="center"/>
          </w:tcPr>
          <w:p w14:paraId="5A959D60" w14:textId="77777777" w:rsidR="008D0CC0" w:rsidRDefault="008D0CC0" w:rsidP="00883C82">
            <w:pPr>
              <w:jc w:val="center"/>
            </w:pPr>
          </w:p>
        </w:tc>
        <w:tc>
          <w:tcPr>
            <w:tcW w:w="2039" w:type="dxa"/>
            <w:vMerge/>
            <w:vAlign w:val="center"/>
          </w:tcPr>
          <w:p w14:paraId="38C35513" w14:textId="77777777" w:rsidR="008D0CC0" w:rsidRDefault="008D0CC0" w:rsidP="00883C82">
            <w:pPr>
              <w:jc w:val="center"/>
            </w:pPr>
          </w:p>
        </w:tc>
        <w:tc>
          <w:tcPr>
            <w:tcW w:w="1506" w:type="dxa"/>
            <w:vMerge/>
            <w:vAlign w:val="center"/>
          </w:tcPr>
          <w:p w14:paraId="38A394A4" w14:textId="77777777" w:rsidR="008D0CC0" w:rsidRDefault="008D0CC0" w:rsidP="00883C82">
            <w:pPr>
              <w:jc w:val="center"/>
            </w:pPr>
          </w:p>
        </w:tc>
        <w:tc>
          <w:tcPr>
            <w:tcW w:w="494" w:type="dxa"/>
            <w:vAlign w:val="center"/>
          </w:tcPr>
          <w:p w14:paraId="768A3024" w14:textId="77777777" w:rsidR="008D0CC0" w:rsidRDefault="008D0CC0" w:rsidP="00883C82">
            <w:pPr>
              <w:jc w:val="center"/>
            </w:pPr>
            <w:r w:rsidRPr="00C27851">
              <w:t>‘18</w:t>
            </w:r>
          </w:p>
        </w:tc>
        <w:tc>
          <w:tcPr>
            <w:tcW w:w="494" w:type="dxa"/>
            <w:vAlign w:val="center"/>
          </w:tcPr>
          <w:p w14:paraId="2E65C9BE" w14:textId="77777777" w:rsidR="008D0CC0" w:rsidRDefault="008D0CC0" w:rsidP="00883C82">
            <w:pPr>
              <w:jc w:val="center"/>
            </w:pPr>
            <w:r w:rsidRPr="00C27851">
              <w:t>‘19</w:t>
            </w:r>
          </w:p>
        </w:tc>
        <w:tc>
          <w:tcPr>
            <w:tcW w:w="494" w:type="dxa"/>
            <w:vAlign w:val="center"/>
          </w:tcPr>
          <w:p w14:paraId="11F950D3" w14:textId="77777777" w:rsidR="008D0CC0" w:rsidRDefault="008D0CC0" w:rsidP="00883C82">
            <w:pPr>
              <w:jc w:val="center"/>
            </w:pPr>
            <w:r w:rsidRPr="00C27851">
              <w:t>‘20</w:t>
            </w:r>
          </w:p>
        </w:tc>
        <w:tc>
          <w:tcPr>
            <w:tcW w:w="494" w:type="dxa"/>
            <w:vAlign w:val="center"/>
          </w:tcPr>
          <w:p w14:paraId="249E571E" w14:textId="77777777" w:rsidR="008D0CC0" w:rsidRDefault="008D0CC0" w:rsidP="00883C82">
            <w:pPr>
              <w:jc w:val="center"/>
            </w:pPr>
            <w:r w:rsidRPr="00C27851">
              <w:t>‘21</w:t>
            </w:r>
          </w:p>
        </w:tc>
        <w:tc>
          <w:tcPr>
            <w:tcW w:w="494" w:type="dxa"/>
            <w:vAlign w:val="center"/>
          </w:tcPr>
          <w:p w14:paraId="6980D0AB" w14:textId="77777777" w:rsidR="008D0CC0" w:rsidRDefault="008D0CC0" w:rsidP="00883C82">
            <w:pPr>
              <w:jc w:val="center"/>
            </w:pPr>
            <w:r w:rsidRPr="00C27851">
              <w:t>‘22</w:t>
            </w:r>
          </w:p>
        </w:tc>
        <w:tc>
          <w:tcPr>
            <w:tcW w:w="494" w:type="dxa"/>
            <w:vAlign w:val="center"/>
          </w:tcPr>
          <w:p w14:paraId="0DD227DC" w14:textId="77777777" w:rsidR="008D0CC0" w:rsidRDefault="008D0CC0" w:rsidP="00883C82">
            <w:pPr>
              <w:jc w:val="center"/>
            </w:pPr>
            <w:r w:rsidRPr="00C27851">
              <w:t>‘23</w:t>
            </w:r>
          </w:p>
        </w:tc>
        <w:tc>
          <w:tcPr>
            <w:tcW w:w="494" w:type="dxa"/>
            <w:vAlign w:val="center"/>
          </w:tcPr>
          <w:p w14:paraId="524FE070" w14:textId="77777777" w:rsidR="008D0CC0" w:rsidRDefault="008D0CC0" w:rsidP="00883C82">
            <w:pPr>
              <w:jc w:val="center"/>
            </w:pPr>
            <w:r w:rsidRPr="00C27851">
              <w:t>‘24</w:t>
            </w:r>
          </w:p>
        </w:tc>
      </w:tr>
      <w:tr w:rsidR="008D0CC0" w14:paraId="11E9916D" w14:textId="77777777" w:rsidTr="00883C82">
        <w:tc>
          <w:tcPr>
            <w:tcW w:w="2014" w:type="dxa"/>
            <w:vMerge w:val="restart"/>
            <w:vAlign w:val="center"/>
          </w:tcPr>
          <w:p w14:paraId="7ADB9274" w14:textId="17091EE8" w:rsidR="008D0CC0" w:rsidRDefault="00B93295" w:rsidP="006B043C">
            <w:r>
              <w:t xml:space="preserve">Design phase </w:t>
            </w:r>
            <w:r w:rsidR="008D0CC0">
              <w:t xml:space="preserve">for a </w:t>
            </w:r>
            <w:r w:rsidR="006B043C">
              <w:t>Green</w:t>
            </w:r>
            <w:r w:rsidR="008D0CC0">
              <w:t xml:space="preserve"> Bank Cards scheme</w:t>
            </w:r>
          </w:p>
        </w:tc>
        <w:tc>
          <w:tcPr>
            <w:tcW w:w="2039" w:type="dxa"/>
            <w:vAlign w:val="center"/>
          </w:tcPr>
          <w:p w14:paraId="548E673F" w14:textId="182B8D06" w:rsidR="008D0CC0" w:rsidRDefault="008D0CC0" w:rsidP="0034096C">
            <w:r>
              <w:t xml:space="preserve">Carrying out a </w:t>
            </w:r>
            <w:r w:rsidR="0034096C">
              <w:t>market demand</w:t>
            </w:r>
            <w:r>
              <w:t xml:space="preserve"> study</w:t>
            </w:r>
          </w:p>
        </w:tc>
        <w:tc>
          <w:tcPr>
            <w:tcW w:w="1506" w:type="dxa"/>
            <w:vAlign w:val="center"/>
          </w:tcPr>
          <w:p w14:paraId="761BC682" w14:textId="77777777" w:rsidR="008D0CC0" w:rsidRDefault="008D0CC0" w:rsidP="00883C82">
            <w:r>
              <w:t>MMDE</w:t>
            </w:r>
          </w:p>
        </w:tc>
        <w:tc>
          <w:tcPr>
            <w:tcW w:w="494" w:type="dxa"/>
            <w:shd w:val="clear" w:color="auto" w:fill="FFFFFF" w:themeFill="background1"/>
            <w:vAlign w:val="center"/>
          </w:tcPr>
          <w:p w14:paraId="229B5546" w14:textId="77777777" w:rsidR="008D0CC0" w:rsidRDefault="008D0CC0" w:rsidP="00883C82">
            <w:pPr>
              <w:jc w:val="center"/>
            </w:pPr>
          </w:p>
        </w:tc>
        <w:tc>
          <w:tcPr>
            <w:tcW w:w="494" w:type="dxa"/>
            <w:shd w:val="clear" w:color="auto" w:fill="BFBFBF" w:themeFill="background1" w:themeFillShade="BF"/>
            <w:vAlign w:val="center"/>
          </w:tcPr>
          <w:p w14:paraId="3C233592" w14:textId="77777777" w:rsidR="008D0CC0" w:rsidRDefault="008D0CC0" w:rsidP="00883C82">
            <w:pPr>
              <w:jc w:val="center"/>
            </w:pPr>
          </w:p>
        </w:tc>
        <w:tc>
          <w:tcPr>
            <w:tcW w:w="494" w:type="dxa"/>
            <w:vAlign w:val="center"/>
          </w:tcPr>
          <w:p w14:paraId="2DCB0565" w14:textId="77777777" w:rsidR="008D0CC0" w:rsidRDefault="008D0CC0" w:rsidP="00883C82">
            <w:pPr>
              <w:jc w:val="center"/>
            </w:pPr>
          </w:p>
        </w:tc>
        <w:tc>
          <w:tcPr>
            <w:tcW w:w="494" w:type="dxa"/>
            <w:vAlign w:val="center"/>
          </w:tcPr>
          <w:p w14:paraId="609AC7FC" w14:textId="77777777" w:rsidR="008D0CC0" w:rsidRDefault="008D0CC0" w:rsidP="00883C82">
            <w:pPr>
              <w:jc w:val="center"/>
            </w:pPr>
          </w:p>
        </w:tc>
        <w:tc>
          <w:tcPr>
            <w:tcW w:w="494" w:type="dxa"/>
            <w:vAlign w:val="center"/>
          </w:tcPr>
          <w:p w14:paraId="2CF6F5A6" w14:textId="77777777" w:rsidR="008D0CC0" w:rsidRDefault="008D0CC0" w:rsidP="00883C82">
            <w:pPr>
              <w:jc w:val="center"/>
            </w:pPr>
          </w:p>
        </w:tc>
        <w:tc>
          <w:tcPr>
            <w:tcW w:w="494" w:type="dxa"/>
            <w:vAlign w:val="center"/>
          </w:tcPr>
          <w:p w14:paraId="193AB8C0" w14:textId="77777777" w:rsidR="008D0CC0" w:rsidRDefault="008D0CC0" w:rsidP="00883C82">
            <w:pPr>
              <w:jc w:val="center"/>
            </w:pPr>
          </w:p>
        </w:tc>
        <w:tc>
          <w:tcPr>
            <w:tcW w:w="494" w:type="dxa"/>
            <w:vAlign w:val="center"/>
          </w:tcPr>
          <w:p w14:paraId="7CCE5040" w14:textId="77777777" w:rsidR="008D0CC0" w:rsidRDefault="008D0CC0" w:rsidP="00883C82">
            <w:pPr>
              <w:jc w:val="center"/>
            </w:pPr>
          </w:p>
        </w:tc>
      </w:tr>
      <w:tr w:rsidR="008D0CC0" w14:paraId="63245B70" w14:textId="77777777" w:rsidTr="00883C82">
        <w:tc>
          <w:tcPr>
            <w:tcW w:w="2014" w:type="dxa"/>
            <w:vMerge/>
            <w:vAlign w:val="center"/>
          </w:tcPr>
          <w:p w14:paraId="487CC4E9" w14:textId="77777777" w:rsidR="008D0CC0" w:rsidRDefault="008D0CC0" w:rsidP="00883C82"/>
        </w:tc>
        <w:tc>
          <w:tcPr>
            <w:tcW w:w="2039" w:type="dxa"/>
            <w:vAlign w:val="center"/>
          </w:tcPr>
          <w:p w14:paraId="759AEEF7" w14:textId="77777777" w:rsidR="008D0CC0" w:rsidRDefault="009564B7" w:rsidP="009564B7">
            <w:r>
              <w:t xml:space="preserve">Providing recommendations </w:t>
            </w:r>
          </w:p>
        </w:tc>
        <w:tc>
          <w:tcPr>
            <w:tcW w:w="1506" w:type="dxa"/>
            <w:vAlign w:val="center"/>
          </w:tcPr>
          <w:p w14:paraId="53CE6F24" w14:textId="77777777" w:rsidR="008D0CC0" w:rsidRDefault="009564B7" w:rsidP="009564B7">
            <w:r>
              <w:t>MMDE</w:t>
            </w:r>
          </w:p>
          <w:p w14:paraId="318AAA32" w14:textId="77777777" w:rsidR="009564B7" w:rsidRDefault="009564B7" w:rsidP="009564B7">
            <w:r>
              <w:t>CBSL</w:t>
            </w:r>
          </w:p>
        </w:tc>
        <w:tc>
          <w:tcPr>
            <w:tcW w:w="494" w:type="dxa"/>
            <w:shd w:val="clear" w:color="auto" w:fill="FFFFFF" w:themeFill="background1"/>
            <w:vAlign w:val="center"/>
          </w:tcPr>
          <w:p w14:paraId="2FB00C25" w14:textId="77777777" w:rsidR="008D0CC0" w:rsidRDefault="008D0CC0" w:rsidP="00883C82">
            <w:pPr>
              <w:jc w:val="center"/>
            </w:pPr>
          </w:p>
        </w:tc>
        <w:tc>
          <w:tcPr>
            <w:tcW w:w="494" w:type="dxa"/>
            <w:shd w:val="clear" w:color="auto" w:fill="BFBFBF" w:themeFill="background1" w:themeFillShade="BF"/>
            <w:vAlign w:val="center"/>
          </w:tcPr>
          <w:p w14:paraId="0FCEA1F7" w14:textId="77777777" w:rsidR="008D0CC0" w:rsidRDefault="008D0CC0" w:rsidP="00883C82">
            <w:pPr>
              <w:jc w:val="center"/>
            </w:pPr>
          </w:p>
        </w:tc>
        <w:tc>
          <w:tcPr>
            <w:tcW w:w="494" w:type="dxa"/>
            <w:vAlign w:val="center"/>
          </w:tcPr>
          <w:p w14:paraId="05282EE4" w14:textId="77777777" w:rsidR="008D0CC0" w:rsidRDefault="008D0CC0" w:rsidP="00883C82">
            <w:pPr>
              <w:jc w:val="center"/>
            </w:pPr>
          </w:p>
        </w:tc>
        <w:tc>
          <w:tcPr>
            <w:tcW w:w="494" w:type="dxa"/>
            <w:vAlign w:val="center"/>
          </w:tcPr>
          <w:p w14:paraId="719B901B" w14:textId="77777777" w:rsidR="008D0CC0" w:rsidRDefault="008D0CC0" w:rsidP="00883C82">
            <w:pPr>
              <w:jc w:val="center"/>
            </w:pPr>
          </w:p>
        </w:tc>
        <w:tc>
          <w:tcPr>
            <w:tcW w:w="494" w:type="dxa"/>
            <w:vAlign w:val="center"/>
          </w:tcPr>
          <w:p w14:paraId="77F44D3F" w14:textId="77777777" w:rsidR="008D0CC0" w:rsidRDefault="008D0CC0" w:rsidP="00883C82">
            <w:pPr>
              <w:jc w:val="center"/>
            </w:pPr>
          </w:p>
        </w:tc>
        <w:tc>
          <w:tcPr>
            <w:tcW w:w="494" w:type="dxa"/>
            <w:vAlign w:val="center"/>
          </w:tcPr>
          <w:p w14:paraId="72446A63" w14:textId="77777777" w:rsidR="008D0CC0" w:rsidRDefault="008D0CC0" w:rsidP="00883C82">
            <w:pPr>
              <w:jc w:val="center"/>
            </w:pPr>
          </w:p>
        </w:tc>
        <w:tc>
          <w:tcPr>
            <w:tcW w:w="494" w:type="dxa"/>
            <w:vAlign w:val="center"/>
          </w:tcPr>
          <w:p w14:paraId="45B24596" w14:textId="77777777" w:rsidR="008D0CC0" w:rsidRDefault="008D0CC0" w:rsidP="00883C82">
            <w:pPr>
              <w:jc w:val="center"/>
            </w:pPr>
          </w:p>
        </w:tc>
      </w:tr>
      <w:tr w:rsidR="008D0CC0" w14:paraId="055FAA47" w14:textId="77777777" w:rsidTr="00883C82">
        <w:tc>
          <w:tcPr>
            <w:tcW w:w="2014" w:type="dxa"/>
            <w:vMerge/>
            <w:vAlign w:val="center"/>
          </w:tcPr>
          <w:p w14:paraId="04D4D0A0" w14:textId="77777777" w:rsidR="008D0CC0" w:rsidRDefault="008D0CC0" w:rsidP="00883C82"/>
        </w:tc>
        <w:tc>
          <w:tcPr>
            <w:tcW w:w="2039" w:type="dxa"/>
            <w:vAlign w:val="center"/>
          </w:tcPr>
          <w:p w14:paraId="7354440B" w14:textId="77777777" w:rsidR="008D0CC0" w:rsidRDefault="009564B7" w:rsidP="00883C82">
            <w:r>
              <w:t>Information and guidelines</w:t>
            </w:r>
          </w:p>
        </w:tc>
        <w:tc>
          <w:tcPr>
            <w:tcW w:w="1506" w:type="dxa"/>
            <w:vAlign w:val="center"/>
          </w:tcPr>
          <w:p w14:paraId="02C34380" w14:textId="77777777" w:rsidR="008D0CC0" w:rsidRDefault="009564B7" w:rsidP="00883C82">
            <w:r>
              <w:t>MMDE</w:t>
            </w:r>
          </w:p>
          <w:p w14:paraId="18012F63" w14:textId="77777777" w:rsidR="009564B7" w:rsidRDefault="009564B7" w:rsidP="00883C82">
            <w:r>
              <w:t>CBSL</w:t>
            </w:r>
          </w:p>
        </w:tc>
        <w:tc>
          <w:tcPr>
            <w:tcW w:w="494" w:type="dxa"/>
            <w:vAlign w:val="center"/>
          </w:tcPr>
          <w:p w14:paraId="0083B10D" w14:textId="77777777" w:rsidR="008D0CC0" w:rsidRDefault="008D0CC0" w:rsidP="00883C82">
            <w:pPr>
              <w:jc w:val="center"/>
            </w:pPr>
          </w:p>
        </w:tc>
        <w:tc>
          <w:tcPr>
            <w:tcW w:w="494" w:type="dxa"/>
            <w:shd w:val="clear" w:color="auto" w:fill="BFBFBF" w:themeFill="background1" w:themeFillShade="BF"/>
            <w:vAlign w:val="center"/>
          </w:tcPr>
          <w:p w14:paraId="572C0029" w14:textId="77777777" w:rsidR="008D0CC0" w:rsidRDefault="008D0CC0" w:rsidP="00883C82">
            <w:pPr>
              <w:jc w:val="center"/>
            </w:pPr>
          </w:p>
        </w:tc>
        <w:tc>
          <w:tcPr>
            <w:tcW w:w="494" w:type="dxa"/>
            <w:vAlign w:val="center"/>
          </w:tcPr>
          <w:p w14:paraId="4E0F06D4" w14:textId="77777777" w:rsidR="008D0CC0" w:rsidRDefault="008D0CC0" w:rsidP="00883C82">
            <w:pPr>
              <w:jc w:val="center"/>
            </w:pPr>
          </w:p>
        </w:tc>
        <w:tc>
          <w:tcPr>
            <w:tcW w:w="494" w:type="dxa"/>
            <w:vAlign w:val="center"/>
          </w:tcPr>
          <w:p w14:paraId="3185C177" w14:textId="77777777" w:rsidR="008D0CC0" w:rsidRDefault="008D0CC0" w:rsidP="00883C82">
            <w:pPr>
              <w:jc w:val="center"/>
            </w:pPr>
          </w:p>
        </w:tc>
        <w:tc>
          <w:tcPr>
            <w:tcW w:w="494" w:type="dxa"/>
            <w:vAlign w:val="center"/>
          </w:tcPr>
          <w:p w14:paraId="735BD2E3" w14:textId="77777777" w:rsidR="008D0CC0" w:rsidRDefault="008D0CC0" w:rsidP="00883C82">
            <w:pPr>
              <w:jc w:val="center"/>
            </w:pPr>
          </w:p>
        </w:tc>
        <w:tc>
          <w:tcPr>
            <w:tcW w:w="494" w:type="dxa"/>
            <w:vAlign w:val="center"/>
          </w:tcPr>
          <w:p w14:paraId="24B63472" w14:textId="77777777" w:rsidR="008D0CC0" w:rsidRDefault="008D0CC0" w:rsidP="00883C82">
            <w:pPr>
              <w:jc w:val="center"/>
            </w:pPr>
          </w:p>
        </w:tc>
        <w:tc>
          <w:tcPr>
            <w:tcW w:w="494" w:type="dxa"/>
            <w:vAlign w:val="center"/>
          </w:tcPr>
          <w:p w14:paraId="7D06B521" w14:textId="77777777" w:rsidR="008D0CC0" w:rsidRDefault="008D0CC0" w:rsidP="00883C82">
            <w:pPr>
              <w:jc w:val="center"/>
            </w:pPr>
          </w:p>
        </w:tc>
      </w:tr>
      <w:tr w:rsidR="008D0CC0" w14:paraId="331B8701" w14:textId="77777777" w:rsidTr="00883C82">
        <w:tc>
          <w:tcPr>
            <w:tcW w:w="2014" w:type="dxa"/>
            <w:vMerge/>
            <w:vAlign w:val="center"/>
          </w:tcPr>
          <w:p w14:paraId="42141FDD" w14:textId="77777777" w:rsidR="008D0CC0" w:rsidRDefault="008D0CC0" w:rsidP="00883C82"/>
        </w:tc>
        <w:tc>
          <w:tcPr>
            <w:tcW w:w="2039" w:type="dxa"/>
            <w:vAlign w:val="center"/>
          </w:tcPr>
          <w:p w14:paraId="1917325C" w14:textId="77777777" w:rsidR="008D0CC0" w:rsidRDefault="008D0CC0" w:rsidP="00883C82">
            <w:r>
              <w:t>Formulating finance mobilization</w:t>
            </w:r>
            <w:r w:rsidR="009564B7">
              <w:t>, fund management</w:t>
            </w:r>
            <w:r>
              <w:t xml:space="preserve"> and</w:t>
            </w:r>
            <w:r w:rsidR="009564B7">
              <w:t>, fund</w:t>
            </w:r>
            <w:r>
              <w:t xml:space="preserve"> utilization</w:t>
            </w:r>
          </w:p>
        </w:tc>
        <w:tc>
          <w:tcPr>
            <w:tcW w:w="1506" w:type="dxa"/>
            <w:vAlign w:val="center"/>
          </w:tcPr>
          <w:p w14:paraId="29F3BB6E" w14:textId="77777777" w:rsidR="008D0CC0" w:rsidRDefault="009564B7" w:rsidP="009564B7">
            <w:r>
              <w:t>MMDE</w:t>
            </w:r>
          </w:p>
          <w:p w14:paraId="066A33CC" w14:textId="77777777" w:rsidR="009564B7" w:rsidRDefault="009564B7" w:rsidP="009564B7">
            <w:r>
              <w:t>MF</w:t>
            </w:r>
          </w:p>
        </w:tc>
        <w:tc>
          <w:tcPr>
            <w:tcW w:w="494" w:type="dxa"/>
            <w:vAlign w:val="center"/>
          </w:tcPr>
          <w:p w14:paraId="3351BB81" w14:textId="77777777" w:rsidR="008D0CC0" w:rsidRDefault="008D0CC0" w:rsidP="00883C82">
            <w:pPr>
              <w:jc w:val="center"/>
            </w:pPr>
          </w:p>
        </w:tc>
        <w:tc>
          <w:tcPr>
            <w:tcW w:w="494" w:type="dxa"/>
            <w:shd w:val="clear" w:color="auto" w:fill="BFBFBF" w:themeFill="background1" w:themeFillShade="BF"/>
            <w:vAlign w:val="center"/>
          </w:tcPr>
          <w:p w14:paraId="619305A6" w14:textId="77777777" w:rsidR="008D0CC0" w:rsidRDefault="008D0CC0" w:rsidP="00883C82">
            <w:pPr>
              <w:jc w:val="center"/>
            </w:pPr>
          </w:p>
        </w:tc>
        <w:tc>
          <w:tcPr>
            <w:tcW w:w="494" w:type="dxa"/>
            <w:shd w:val="clear" w:color="auto" w:fill="FFFFFF" w:themeFill="background1"/>
            <w:vAlign w:val="center"/>
          </w:tcPr>
          <w:p w14:paraId="604C9D93" w14:textId="77777777" w:rsidR="008D0CC0" w:rsidRDefault="008D0CC0" w:rsidP="00883C82">
            <w:pPr>
              <w:jc w:val="center"/>
            </w:pPr>
          </w:p>
        </w:tc>
        <w:tc>
          <w:tcPr>
            <w:tcW w:w="494" w:type="dxa"/>
            <w:shd w:val="clear" w:color="auto" w:fill="FFFFFF" w:themeFill="background1"/>
            <w:vAlign w:val="center"/>
          </w:tcPr>
          <w:p w14:paraId="7645FC4C" w14:textId="77777777" w:rsidR="008D0CC0" w:rsidRDefault="008D0CC0" w:rsidP="00883C82">
            <w:pPr>
              <w:jc w:val="center"/>
            </w:pPr>
          </w:p>
        </w:tc>
        <w:tc>
          <w:tcPr>
            <w:tcW w:w="494" w:type="dxa"/>
            <w:vAlign w:val="center"/>
          </w:tcPr>
          <w:p w14:paraId="75ECDF06" w14:textId="77777777" w:rsidR="008D0CC0" w:rsidRDefault="008D0CC0" w:rsidP="00883C82">
            <w:pPr>
              <w:jc w:val="center"/>
            </w:pPr>
          </w:p>
        </w:tc>
        <w:tc>
          <w:tcPr>
            <w:tcW w:w="494" w:type="dxa"/>
            <w:vAlign w:val="center"/>
          </w:tcPr>
          <w:p w14:paraId="1B34ED48" w14:textId="77777777" w:rsidR="008D0CC0" w:rsidRDefault="008D0CC0" w:rsidP="00883C82">
            <w:pPr>
              <w:jc w:val="center"/>
            </w:pPr>
          </w:p>
        </w:tc>
        <w:tc>
          <w:tcPr>
            <w:tcW w:w="494" w:type="dxa"/>
            <w:vAlign w:val="center"/>
          </w:tcPr>
          <w:p w14:paraId="587F9F9F" w14:textId="77777777" w:rsidR="008D0CC0" w:rsidRDefault="008D0CC0" w:rsidP="00883C82">
            <w:pPr>
              <w:jc w:val="center"/>
            </w:pPr>
          </w:p>
        </w:tc>
      </w:tr>
      <w:tr w:rsidR="008D0CC0" w14:paraId="72742FE2" w14:textId="77777777" w:rsidTr="00883C82">
        <w:tc>
          <w:tcPr>
            <w:tcW w:w="2014" w:type="dxa"/>
            <w:vMerge/>
            <w:vAlign w:val="center"/>
          </w:tcPr>
          <w:p w14:paraId="42170EF3" w14:textId="77777777" w:rsidR="008D0CC0" w:rsidRDefault="008D0CC0" w:rsidP="00883C82"/>
        </w:tc>
        <w:tc>
          <w:tcPr>
            <w:tcW w:w="2039" w:type="dxa"/>
            <w:vAlign w:val="center"/>
          </w:tcPr>
          <w:p w14:paraId="09A5551A" w14:textId="77777777" w:rsidR="008D0CC0" w:rsidRDefault="008D0CC0" w:rsidP="00883C82">
            <w:r>
              <w:t>Verification and approval</w:t>
            </w:r>
          </w:p>
        </w:tc>
        <w:tc>
          <w:tcPr>
            <w:tcW w:w="1506" w:type="dxa"/>
            <w:vAlign w:val="center"/>
          </w:tcPr>
          <w:p w14:paraId="26BE6B3D" w14:textId="77777777" w:rsidR="008D0CC0" w:rsidRDefault="008D0CC0" w:rsidP="00883C82">
            <w:r>
              <w:t>MMDE</w:t>
            </w:r>
          </w:p>
          <w:p w14:paraId="7224BDC0" w14:textId="77777777" w:rsidR="009564B7" w:rsidRDefault="009564B7" w:rsidP="00883C82">
            <w:r>
              <w:t>MF</w:t>
            </w:r>
          </w:p>
        </w:tc>
        <w:tc>
          <w:tcPr>
            <w:tcW w:w="494" w:type="dxa"/>
            <w:vAlign w:val="center"/>
          </w:tcPr>
          <w:p w14:paraId="0690709B" w14:textId="77777777" w:rsidR="008D0CC0" w:rsidRDefault="008D0CC0" w:rsidP="00883C82">
            <w:pPr>
              <w:jc w:val="center"/>
            </w:pPr>
          </w:p>
        </w:tc>
        <w:tc>
          <w:tcPr>
            <w:tcW w:w="494" w:type="dxa"/>
            <w:shd w:val="clear" w:color="auto" w:fill="BFBFBF" w:themeFill="background1" w:themeFillShade="BF"/>
            <w:vAlign w:val="center"/>
          </w:tcPr>
          <w:p w14:paraId="6E3C958A" w14:textId="77777777" w:rsidR="008D0CC0" w:rsidRDefault="008D0CC0" w:rsidP="00883C82">
            <w:pPr>
              <w:jc w:val="center"/>
            </w:pPr>
          </w:p>
        </w:tc>
        <w:tc>
          <w:tcPr>
            <w:tcW w:w="494" w:type="dxa"/>
            <w:shd w:val="clear" w:color="auto" w:fill="BFBFBF" w:themeFill="background1" w:themeFillShade="BF"/>
            <w:vAlign w:val="center"/>
          </w:tcPr>
          <w:p w14:paraId="2541C7EB" w14:textId="77777777" w:rsidR="008D0CC0" w:rsidRDefault="008D0CC0" w:rsidP="00883C82">
            <w:pPr>
              <w:jc w:val="center"/>
            </w:pPr>
          </w:p>
        </w:tc>
        <w:tc>
          <w:tcPr>
            <w:tcW w:w="494" w:type="dxa"/>
            <w:vAlign w:val="center"/>
          </w:tcPr>
          <w:p w14:paraId="679F54B7" w14:textId="77777777" w:rsidR="008D0CC0" w:rsidRDefault="008D0CC0" w:rsidP="00883C82">
            <w:pPr>
              <w:jc w:val="center"/>
            </w:pPr>
          </w:p>
        </w:tc>
        <w:tc>
          <w:tcPr>
            <w:tcW w:w="494" w:type="dxa"/>
            <w:vAlign w:val="center"/>
          </w:tcPr>
          <w:p w14:paraId="6681E238" w14:textId="77777777" w:rsidR="008D0CC0" w:rsidRDefault="008D0CC0" w:rsidP="00883C82">
            <w:pPr>
              <w:jc w:val="center"/>
            </w:pPr>
          </w:p>
        </w:tc>
        <w:tc>
          <w:tcPr>
            <w:tcW w:w="494" w:type="dxa"/>
            <w:vAlign w:val="center"/>
          </w:tcPr>
          <w:p w14:paraId="1FD07435" w14:textId="77777777" w:rsidR="008D0CC0" w:rsidRDefault="008D0CC0" w:rsidP="00883C82">
            <w:pPr>
              <w:jc w:val="center"/>
            </w:pPr>
          </w:p>
        </w:tc>
        <w:tc>
          <w:tcPr>
            <w:tcW w:w="494" w:type="dxa"/>
            <w:vAlign w:val="center"/>
          </w:tcPr>
          <w:p w14:paraId="1B06E461" w14:textId="77777777" w:rsidR="008D0CC0" w:rsidRDefault="008D0CC0" w:rsidP="00883C82">
            <w:pPr>
              <w:jc w:val="center"/>
            </w:pPr>
          </w:p>
        </w:tc>
      </w:tr>
      <w:tr w:rsidR="008D0CC0" w14:paraId="269D0CB1" w14:textId="77777777" w:rsidTr="00883C82">
        <w:tc>
          <w:tcPr>
            <w:tcW w:w="2014" w:type="dxa"/>
            <w:vMerge w:val="restart"/>
            <w:vAlign w:val="center"/>
          </w:tcPr>
          <w:p w14:paraId="6E5DD85A" w14:textId="3DE70AF7" w:rsidR="008D0CC0" w:rsidRDefault="008D0CC0" w:rsidP="00AC23A5">
            <w:r>
              <w:t xml:space="preserve">Implementation of the Green </w:t>
            </w:r>
            <w:r w:rsidR="00AC23A5">
              <w:t>Bank Cards</w:t>
            </w:r>
            <w:r>
              <w:t xml:space="preserve"> scheme</w:t>
            </w:r>
          </w:p>
        </w:tc>
        <w:tc>
          <w:tcPr>
            <w:tcW w:w="2039" w:type="dxa"/>
            <w:vAlign w:val="center"/>
          </w:tcPr>
          <w:p w14:paraId="2141DA3A" w14:textId="1EFB04A0" w:rsidR="008D0CC0" w:rsidRDefault="009564B7" w:rsidP="0034096C">
            <w:r>
              <w:t xml:space="preserve">Issuing </w:t>
            </w:r>
            <w:r w:rsidR="0034096C">
              <w:t>nature</w:t>
            </w:r>
            <w:r>
              <w:t xml:space="preserve"> bank cards</w:t>
            </w:r>
          </w:p>
        </w:tc>
        <w:tc>
          <w:tcPr>
            <w:tcW w:w="1506" w:type="dxa"/>
            <w:vAlign w:val="center"/>
          </w:tcPr>
          <w:p w14:paraId="765D9B57" w14:textId="77777777" w:rsidR="008D0CC0" w:rsidRDefault="009564B7" w:rsidP="00883C82">
            <w:r>
              <w:t>Commercial banks</w:t>
            </w:r>
          </w:p>
        </w:tc>
        <w:tc>
          <w:tcPr>
            <w:tcW w:w="494" w:type="dxa"/>
            <w:vAlign w:val="center"/>
          </w:tcPr>
          <w:p w14:paraId="001D4242" w14:textId="77777777" w:rsidR="008D0CC0" w:rsidRDefault="008D0CC0" w:rsidP="00883C82">
            <w:pPr>
              <w:jc w:val="center"/>
            </w:pPr>
          </w:p>
        </w:tc>
        <w:tc>
          <w:tcPr>
            <w:tcW w:w="494" w:type="dxa"/>
            <w:vAlign w:val="center"/>
          </w:tcPr>
          <w:p w14:paraId="7D8395F2" w14:textId="77777777" w:rsidR="008D0CC0" w:rsidRDefault="008D0CC0" w:rsidP="00883C82">
            <w:pPr>
              <w:jc w:val="center"/>
            </w:pPr>
          </w:p>
        </w:tc>
        <w:tc>
          <w:tcPr>
            <w:tcW w:w="494" w:type="dxa"/>
            <w:shd w:val="clear" w:color="auto" w:fill="BFBFBF" w:themeFill="background1" w:themeFillShade="BF"/>
            <w:vAlign w:val="center"/>
          </w:tcPr>
          <w:p w14:paraId="3C1C590E" w14:textId="77777777" w:rsidR="008D0CC0" w:rsidRDefault="008D0CC0" w:rsidP="00883C82">
            <w:pPr>
              <w:jc w:val="center"/>
            </w:pPr>
          </w:p>
        </w:tc>
        <w:tc>
          <w:tcPr>
            <w:tcW w:w="494" w:type="dxa"/>
            <w:shd w:val="clear" w:color="auto" w:fill="FFFFFF" w:themeFill="background1"/>
            <w:vAlign w:val="center"/>
          </w:tcPr>
          <w:p w14:paraId="269144C8" w14:textId="77777777" w:rsidR="008D0CC0" w:rsidRDefault="008D0CC0" w:rsidP="00883C82">
            <w:pPr>
              <w:jc w:val="center"/>
            </w:pPr>
          </w:p>
        </w:tc>
        <w:tc>
          <w:tcPr>
            <w:tcW w:w="494" w:type="dxa"/>
            <w:shd w:val="clear" w:color="auto" w:fill="FFFFFF" w:themeFill="background1"/>
            <w:vAlign w:val="center"/>
          </w:tcPr>
          <w:p w14:paraId="2E086634" w14:textId="77777777" w:rsidR="008D0CC0" w:rsidRDefault="008D0CC0" w:rsidP="00883C82">
            <w:pPr>
              <w:jc w:val="center"/>
            </w:pPr>
          </w:p>
        </w:tc>
        <w:tc>
          <w:tcPr>
            <w:tcW w:w="494" w:type="dxa"/>
            <w:shd w:val="clear" w:color="auto" w:fill="FFFFFF" w:themeFill="background1"/>
            <w:vAlign w:val="center"/>
          </w:tcPr>
          <w:p w14:paraId="13459F8D" w14:textId="77777777" w:rsidR="008D0CC0" w:rsidRDefault="008D0CC0" w:rsidP="00883C82">
            <w:pPr>
              <w:jc w:val="center"/>
            </w:pPr>
          </w:p>
        </w:tc>
        <w:tc>
          <w:tcPr>
            <w:tcW w:w="494" w:type="dxa"/>
            <w:shd w:val="clear" w:color="auto" w:fill="FFFFFF" w:themeFill="background1"/>
            <w:vAlign w:val="center"/>
          </w:tcPr>
          <w:p w14:paraId="7106A2B6" w14:textId="77777777" w:rsidR="008D0CC0" w:rsidRDefault="008D0CC0" w:rsidP="00883C82">
            <w:pPr>
              <w:jc w:val="center"/>
            </w:pPr>
          </w:p>
        </w:tc>
      </w:tr>
      <w:tr w:rsidR="008D0CC0" w14:paraId="28A19DA2" w14:textId="77777777" w:rsidTr="00883C82">
        <w:tc>
          <w:tcPr>
            <w:tcW w:w="2014" w:type="dxa"/>
            <w:vMerge/>
            <w:vAlign w:val="center"/>
          </w:tcPr>
          <w:p w14:paraId="71FC9D6B" w14:textId="77777777" w:rsidR="008D0CC0" w:rsidRDefault="008D0CC0" w:rsidP="00883C82"/>
        </w:tc>
        <w:tc>
          <w:tcPr>
            <w:tcW w:w="2039" w:type="dxa"/>
            <w:vAlign w:val="center"/>
          </w:tcPr>
          <w:p w14:paraId="032FF7C7" w14:textId="77777777" w:rsidR="008D0CC0" w:rsidRDefault="009564B7" w:rsidP="00883C82">
            <w:r>
              <w:t>Fund management and fund utilization mechanisms</w:t>
            </w:r>
          </w:p>
        </w:tc>
        <w:tc>
          <w:tcPr>
            <w:tcW w:w="1506" w:type="dxa"/>
            <w:vAlign w:val="center"/>
          </w:tcPr>
          <w:p w14:paraId="624141F7" w14:textId="77777777" w:rsidR="008D0CC0" w:rsidRDefault="009564B7" w:rsidP="00883C82">
            <w:r>
              <w:t>Commercial banks</w:t>
            </w:r>
          </w:p>
          <w:p w14:paraId="7C8C952B" w14:textId="77777777" w:rsidR="009564B7" w:rsidRDefault="009564B7" w:rsidP="00883C82">
            <w:r>
              <w:t>CBSL</w:t>
            </w:r>
          </w:p>
          <w:p w14:paraId="38438DCE" w14:textId="77777777" w:rsidR="009564B7" w:rsidRDefault="009564B7" w:rsidP="00883C82">
            <w:r>
              <w:t>MMDE</w:t>
            </w:r>
          </w:p>
          <w:p w14:paraId="12A3E2FE" w14:textId="77777777" w:rsidR="009564B7" w:rsidRDefault="009564B7" w:rsidP="00883C82">
            <w:r>
              <w:t>MF</w:t>
            </w:r>
          </w:p>
        </w:tc>
        <w:tc>
          <w:tcPr>
            <w:tcW w:w="494" w:type="dxa"/>
            <w:vAlign w:val="center"/>
          </w:tcPr>
          <w:p w14:paraId="3447E4DE" w14:textId="77777777" w:rsidR="008D0CC0" w:rsidRDefault="008D0CC0" w:rsidP="00883C82">
            <w:pPr>
              <w:jc w:val="center"/>
            </w:pPr>
          </w:p>
        </w:tc>
        <w:tc>
          <w:tcPr>
            <w:tcW w:w="494" w:type="dxa"/>
            <w:vAlign w:val="center"/>
          </w:tcPr>
          <w:p w14:paraId="4523F423" w14:textId="77777777" w:rsidR="008D0CC0" w:rsidRDefault="008D0CC0" w:rsidP="00883C82">
            <w:pPr>
              <w:jc w:val="center"/>
            </w:pPr>
          </w:p>
        </w:tc>
        <w:tc>
          <w:tcPr>
            <w:tcW w:w="494" w:type="dxa"/>
            <w:shd w:val="clear" w:color="auto" w:fill="BFBFBF" w:themeFill="background1" w:themeFillShade="BF"/>
            <w:vAlign w:val="center"/>
          </w:tcPr>
          <w:p w14:paraId="0F59B43D" w14:textId="77777777" w:rsidR="008D0CC0" w:rsidRDefault="008D0CC0" w:rsidP="00883C82">
            <w:pPr>
              <w:jc w:val="center"/>
            </w:pPr>
          </w:p>
        </w:tc>
        <w:tc>
          <w:tcPr>
            <w:tcW w:w="494" w:type="dxa"/>
            <w:vAlign w:val="center"/>
          </w:tcPr>
          <w:p w14:paraId="7F64539C" w14:textId="77777777" w:rsidR="008D0CC0" w:rsidRDefault="008D0CC0" w:rsidP="00883C82">
            <w:pPr>
              <w:jc w:val="center"/>
            </w:pPr>
          </w:p>
        </w:tc>
        <w:tc>
          <w:tcPr>
            <w:tcW w:w="494" w:type="dxa"/>
            <w:vAlign w:val="center"/>
          </w:tcPr>
          <w:p w14:paraId="46E88481" w14:textId="77777777" w:rsidR="008D0CC0" w:rsidRDefault="008D0CC0" w:rsidP="00883C82">
            <w:pPr>
              <w:jc w:val="center"/>
            </w:pPr>
          </w:p>
        </w:tc>
        <w:tc>
          <w:tcPr>
            <w:tcW w:w="494" w:type="dxa"/>
            <w:vAlign w:val="center"/>
          </w:tcPr>
          <w:p w14:paraId="61301404" w14:textId="77777777" w:rsidR="008D0CC0" w:rsidRDefault="008D0CC0" w:rsidP="00883C82">
            <w:pPr>
              <w:jc w:val="center"/>
            </w:pPr>
          </w:p>
        </w:tc>
        <w:tc>
          <w:tcPr>
            <w:tcW w:w="494" w:type="dxa"/>
            <w:vAlign w:val="center"/>
          </w:tcPr>
          <w:p w14:paraId="0C7CBE6A" w14:textId="77777777" w:rsidR="008D0CC0" w:rsidRDefault="008D0CC0" w:rsidP="00883C82">
            <w:pPr>
              <w:jc w:val="center"/>
            </w:pPr>
          </w:p>
        </w:tc>
      </w:tr>
      <w:tr w:rsidR="008D0CC0" w14:paraId="120D8736" w14:textId="77777777" w:rsidTr="00883C82">
        <w:tc>
          <w:tcPr>
            <w:tcW w:w="2014" w:type="dxa"/>
            <w:vMerge w:val="restart"/>
            <w:vAlign w:val="center"/>
          </w:tcPr>
          <w:p w14:paraId="5B29215F" w14:textId="77777777" w:rsidR="008D0CC0" w:rsidRDefault="008D0CC0" w:rsidP="00883C82">
            <w:r>
              <w:t>Investing in biodiversity</w:t>
            </w:r>
          </w:p>
        </w:tc>
        <w:tc>
          <w:tcPr>
            <w:tcW w:w="2039" w:type="dxa"/>
            <w:vAlign w:val="center"/>
          </w:tcPr>
          <w:p w14:paraId="53F22B54" w14:textId="0D67DD81" w:rsidR="008D0CC0" w:rsidRDefault="0034096C" w:rsidP="00883C82">
            <w:r>
              <w:t>Identifying</w:t>
            </w:r>
            <w:r w:rsidR="008D0CC0">
              <w:t xml:space="preserve"> the biodiversity conservation projects</w:t>
            </w:r>
          </w:p>
        </w:tc>
        <w:tc>
          <w:tcPr>
            <w:tcW w:w="1506" w:type="dxa"/>
            <w:vAlign w:val="center"/>
          </w:tcPr>
          <w:p w14:paraId="0C750BFD" w14:textId="77777777" w:rsidR="008D0CC0" w:rsidRDefault="008D0CC0" w:rsidP="00883C82">
            <w:r>
              <w:t>MMDE</w:t>
            </w:r>
          </w:p>
        </w:tc>
        <w:tc>
          <w:tcPr>
            <w:tcW w:w="494" w:type="dxa"/>
            <w:vAlign w:val="center"/>
          </w:tcPr>
          <w:p w14:paraId="01598D8E" w14:textId="77777777" w:rsidR="008D0CC0" w:rsidRDefault="008D0CC0" w:rsidP="00883C82">
            <w:pPr>
              <w:jc w:val="center"/>
            </w:pPr>
          </w:p>
        </w:tc>
        <w:tc>
          <w:tcPr>
            <w:tcW w:w="494" w:type="dxa"/>
            <w:vAlign w:val="center"/>
          </w:tcPr>
          <w:p w14:paraId="63982D3E" w14:textId="77777777" w:rsidR="008D0CC0" w:rsidRDefault="008D0CC0" w:rsidP="00883C82">
            <w:pPr>
              <w:jc w:val="center"/>
            </w:pPr>
          </w:p>
        </w:tc>
        <w:tc>
          <w:tcPr>
            <w:tcW w:w="494" w:type="dxa"/>
            <w:shd w:val="clear" w:color="auto" w:fill="BFBFBF" w:themeFill="background1" w:themeFillShade="BF"/>
            <w:vAlign w:val="center"/>
          </w:tcPr>
          <w:p w14:paraId="600C8741" w14:textId="77777777" w:rsidR="008D0CC0" w:rsidRDefault="008D0CC0" w:rsidP="00883C82">
            <w:pPr>
              <w:jc w:val="center"/>
            </w:pPr>
          </w:p>
        </w:tc>
        <w:tc>
          <w:tcPr>
            <w:tcW w:w="494" w:type="dxa"/>
            <w:shd w:val="clear" w:color="auto" w:fill="BFBFBF" w:themeFill="background1" w:themeFillShade="BF"/>
            <w:vAlign w:val="center"/>
          </w:tcPr>
          <w:p w14:paraId="5BADA4D9" w14:textId="77777777" w:rsidR="008D0CC0" w:rsidRDefault="008D0CC0" w:rsidP="00883C82">
            <w:pPr>
              <w:jc w:val="center"/>
            </w:pPr>
          </w:p>
        </w:tc>
        <w:tc>
          <w:tcPr>
            <w:tcW w:w="494" w:type="dxa"/>
            <w:shd w:val="clear" w:color="auto" w:fill="FFFFFF" w:themeFill="background1"/>
            <w:vAlign w:val="center"/>
          </w:tcPr>
          <w:p w14:paraId="2F9A09AD" w14:textId="77777777" w:rsidR="008D0CC0" w:rsidRDefault="008D0CC0" w:rsidP="00883C82">
            <w:pPr>
              <w:jc w:val="center"/>
            </w:pPr>
          </w:p>
        </w:tc>
        <w:tc>
          <w:tcPr>
            <w:tcW w:w="494" w:type="dxa"/>
            <w:shd w:val="clear" w:color="auto" w:fill="FFFFFF" w:themeFill="background1"/>
            <w:vAlign w:val="center"/>
          </w:tcPr>
          <w:p w14:paraId="4371FA74" w14:textId="77777777" w:rsidR="008D0CC0" w:rsidRDefault="008D0CC0" w:rsidP="00883C82">
            <w:pPr>
              <w:jc w:val="center"/>
            </w:pPr>
          </w:p>
        </w:tc>
        <w:tc>
          <w:tcPr>
            <w:tcW w:w="494" w:type="dxa"/>
            <w:shd w:val="clear" w:color="auto" w:fill="FFFFFF" w:themeFill="background1"/>
            <w:vAlign w:val="center"/>
          </w:tcPr>
          <w:p w14:paraId="06A20E5C" w14:textId="77777777" w:rsidR="008D0CC0" w:rsidRDefault="008D0CC0" w:rsidP="00883C82">
            <w:pPr>
              <w:jc w:val="center"/>
            </w:pPr>
          </w:p>
        </w:tc>
      </w:tr>
      <w:tr w:rsidR="008D0CC0" w14:paraId="75113319" w14:textId="77777777" w:rsidTr="00883C82">
        <w:tc>
          <w:tcPr>
            <w:tcW w:w="2014" w:type="dxa"/>
            <w:vMerge/>
            <w:vAlign w:val="center"/>
          </w:tcPr>
          <w:p w14:paraId="2C08E767" w14:textId="77777777" w:rsidR="008D0CC0" w:rsidRDefault="008D0CC0" w:rsidP="00883C82"/>
        </w:tc>
        <w:tc>
          <w:tcPr>
            <w:tcW w:w="2039" w:type="dxa"/>
            <w:vAlign w:val="center"/>
          </w:tcPr>
          <w:p w14:paraId="6CA22A84" w14:textId="77777777" w:rsidR="008D0CC0" w:rsidRDefault="008D0CC0" w:rsidP="00883C82">
            <w:r>
              <w:t>Implementation of the approved projects</w:t>
            </w:r>
          </w:p>
        </w:tc>
        <w:tc>
          <w:tcPr>
            <w:tcW w:w="1506" w:type="dxa"/>
            <w:vAlign w:val="center"/>
          </w:tcPr>
          <w:p w14:paraId="2445EA76" w14:textId="77777777" w:rsidR="008D0CC0" w:rsidRDefault="008D0CC0" w:rsidP="00883C82">
            <w:r>
              <w:t>MMDE</w:t>
            </w:r>
          </w:p>
        </w:tc>
        <w:tc>
          <w:tcPr>
            <w:tcW w:w="494" w:type="dxa"/>
            <w:vAlign w:val="center"/>
          </w:tcPr>
          <w:p w14:paraId="294088E9" w14:textId="77777777" w:rsidR="008D0CC0" w:rsidRDefault="008D0CC0" w:rsidP="00883C82">
            <w:pPr>
              <w:jc w:val="center"/>
            </w:pPr>
          </w:p>
        </w:tc>
        <w:tc>
          <w:tcPr>
            <w:tcW w:w="494" w:type="dxa"/>
            <w:vAlign w:val="center"/>
          </w:tcPr>
          <w:p w14:paraId="2BD11688" w14:textId="77777777" w:rsidR="008D0CC0" w:rsidRDefault="008D0CC0" w:rsidP="00883C82">
            <w:pPr>
              <w:jc w:val="center"/>
            </w:pPr>
          </w:p>
        </w:tc>
        <w:tc>
          <w:tcPr>
            <w:tcW w:w="494" w:type="dxa"/>
            <w:shd w:val="clear" w:color="auto" w:fill="BFBFBF" w:themeFill="background1" w:themeFillShade="BF"/>
            <w:vAlign w:val="center"/>
          </w:tcPr>
          <w:p w14:paraId="0F5A289D" w14:textId="77777777" w:rsidR="008D0CC0" w:rsidRDefault="008D0CC0" w:rsidP="00883C82">
            <w:pPr>
              <w:jc w:val="center"/>
            </w:pPr>
          </w:p>
        </w:tc>
        <w:tc>
          <w:tcPr>
            <w:tcW w:w="494" w:type="dxa"/>
            <w:shd w:val="clear" w:color="auto" w:fill="BFBFBF" w:themeFill="background1" w:themeFillShade="BF"/>
            <w:vAlign w:val="center"/>
          </w:tcPr>
          <w:p w14:paraId="10D4D446" w14:textId="77777777" w:rsidR="008D0CC0" w:rsidRDefault="008D0CC0" w:rsidP="00883C82">
            <w:pPr>
              <w:jc w:val="center"/>
            </w:pPr>
          </w:p>
        </w:tc>
        <w:tc>
          <w:tcPr>
            <w:tcW w:w="494" w:type="dxa"/>
            <w:vAlign w:val="center"/>
          </w:tcPr>
          <w:p w14:paraId="4FE02E9C" w14:textId="77777777" w:rsidR="008D0CC0" w:rsidRDefault="008D0CC0" w:rsidP="00883C82">
            <w:pPr>
              <w:jc w:val="center"/>
            </w:pPr>
          </w:p>
        </w:tc>
        <w:tc>
          <w:tcPr>
            <w:tcW w:w="494" w:type="dxa"/>
            <w:vAlign w:val="center"/>
          </w:tcPr>
          <w:p w14:paraId="666904D0" w14:textId="77777777" w:rsidR="008D0CC0" w:rsidRDefault="008D0CC0" w:rsidP="00883C82">
            <w:pPr>
              <w:jc w:val="center"/>
            </w:pPr>
          </w:p>
        </w:tc>
        <w:tc>
          <w:tcPr>
            <w:tcW w:w="494" w:type="dxa"/>
            <w:vAlign w:val="center"/>
          </w:tcPr>
          <w:p w14:paraId="65EAA036" w14:textId="77777777" w:rsidR="008D0CC0" w:rsidRDefault="008D0CC0" w:rsidP="00883C82">
            <w:pPr>
              <w:jc w:val="center"/>
            </w:pPr>
          </w:p>
        </w:tc>
      </w:tr>
      <w:tr w:rsidR="008D0CC0" w14:paraId="5A191BA5" w14:textId="77777777" w:rsidTr="00883C82">
        <w:tc>
          <w:tcPr>
            <w:tcW w:w="2014" w:type="dxa"/>
            <w:vMerge/>
            <w:vAlign w:val="center"/>
          </w:tcPr>
          <w:p w14:paraId="2FE22D1C" w14:textId="77777777" w:rsidR="008D0CC0" w:rsidRDefault="008D0CC0" w:rsidP="00883C82"/>
        </w:tc>
        <w:tc>
          <w:tcPr>
            <w:tcW w:w="2039" w:type="dxa"/>
            <w:vAlign w:val="center"/>
          </w:tcPr>
          <w:p w14:paraId="12E95BB9" w14:textId="77777777" w:rsidR="008D0CC0" w:rsidRDefault="008D0CC0" w:rsidP="00883C82">
            <w:r>
              <w:t>Monitoring and evaluating the scheme</w:t>
            </w:r>
          </w:p>
        </w:tc>
        <w:tc>
          <w:tcPr>
            <w:tcW w:w="1506" w:type="dxa"/>
            <w:vAlign w:val="center"/>
          </w:tcPr>
          <w:p w14:paraId="1D7085CD" w14:textId="77777777" w:rsidR="008D0CC0" w:rsidRDefault="008D0CC0" w:rsidP="00883C82">
            <w:r>
              <w:t>MMDE</w:t>
            </w:r>
          </w:p>
        </w:tc>
        <w:tc>
          <w:tcPr>
            <w:tcW w:w="494" w:type="dxa"/>
            <w:vAlign w:val="center"/>
          </w:tcPr>
          <w:p w14:paraId="00C9C8CB" w14:textId="77777777" w:rsidR="008D0CC0" w:rsidRDefault="008D0CC0" w:rsidP="00883C82">
            <w:pPr>
              <w:jc w:val="center"/>
            </w:pPr>
          </w:p>
        </w:tc>
        <w:tc>
          <w:tcPr>
            <w:tcW w:w="494" w:type="dxa"/>
            <w:vAlign w:val="center"/>
          </w:tcPr>
          <w:p w14:paraId="5828B384" w14:textId="77777777" w:rsidR="008D0CC0" w:rsidRDefault="008D0CC0" w:rsidP="00883C82">
            <w:pPr>
              <w:jc w:val="center"/>
            </w:pPr>
          </w:p>
        </w:tc>
        <w:tc>
          <w:tcPr>
            <w:tcW w:w="494" w:type="dxa"/>
            <w:vAlign w:val="center"/>
          </w:tcPr>
          <w:p w14:paraId="2C7BA965" w14:textId="77777777" w:rsidR="008D0CC0" w:rsidRDefault="008D0CC0" w:rsidP="00883C82">
            <w:pPr>
              <w:jc w:val="center"/>
            </w:pPr>
          </w:p>
        </w:tc>
        <w:tc>
          <w:tcPr>
            <w:tcW w:w="494" w:type="dxa"/>
            <w:shd w:val="clear" w:color="auto" w:fill="BFBFBF" w:themeFill="background1" w:themeFillShade="BF"/>
            <w:vAlign w:val="center"/>
          </w:tcPr>
          <w:p w14:paraId="1F1E4FDA" w14:textId="77777777" w:rsidR="008D0CC0" w:rsidRDefault="008D0CC0" w:rsidP="00883C82">
            <w:pPr>
              <w:jc w:val="center"/>
            </w:pPr>
          </w:p>
        </w:tc>
        <w:tc>
          <w:tcPr>
            <w:tcW w:w="494" w:type="dxa"/>
            <w:shd w:val="clear" w:color="auto" w:fill="BFBFBF" w:themeFill="background1" w:themeFillShade="BF"/>
            <w:vAlign w:val="center"/>
          </w:tcPr>
          <w:p w14:paraId="68EA0E99" w14:textId="77777777" w:rsidR="008D0CC0" w:rsidRDefault="008D0CC0" w:rsidP="00883C82">
            <w:pPr>
              <w:jc w:val="center"/>
            </w:pPr>
          </w:p>
        </w:tc>
        <w:tc>
          <w:tcPr>
            <w:tcW w:w="494" w:type="dxa"/>
            <w:vAlign w:val="center"/>
          </w:tcPr>
          <w:p w14:paraId="763EEA75" w14:textId="77777777" w:rsidR="008D0CC0" w:rsidRDefault="008D0CC0" w:rsidP="00883C82">
            <w:pPr>
              <w:jc w:val="center"/>
            </w:pPr>
          </w:p>
        </w:tc>
        <w:tc>
          <w:tcPr>
            <w:tcW w:w="494" w:type="dxa"/>
            <w:vAlign w:val="center"/>
          </w:tcPr>
          <w:p w14:paraId="66B57367" w14:textId="77777777" w:rsidR="008D0CC0" w:rsidRDefault="008D0CC0" w:rsidP="00883C82">
            <w:pPr>
              <w:jc w:val="center"/>
            </w:pPr>
          </w:p>
        </w:tc>
      </w:tr>
      <w:tr w:rsidR="008D0CC0" w14:paraId="2113BBB6" w14:textId="77777777" w:rsidTr="00883C82">
        <w:tc>
          <w:tcPr>
            <w:tcW w:w="2014" w:type="dxa"/>
            <w:vAlign w:val="center"/>
          </w:tcPr>
          <w:p w14:paraId="104671FE" w14:textId="77777777" w:rsidR="008D0CC0" w:rsidRDefault="008D0CC0" w:rsidP="00883C82">
            <w:r>
              <w:t>Budget</w:t>
            </w:r>
          </w:p>
        </w:tc>
        <w:tc>
          <w:tcPr>
            <w:tcW w:w="7003" w:type="dxa"/>
            <w:gridSpan w:val="9"/>
            <w:vAlign w:val="center"/>
          </w:tcPr>
          <w:p w14:paraId="798FEA12" w14:textId="77777777" w:rsidR="008D0CC0" w:rsidRDefault="00FE6A10" w:rsidP="00883C82">
            <w:r>
              <w:t>US$ 30</w:t>
            </w:r>
            <w:r w:rsidR="008D0CC0">
              <w:t>,000</w:t>
            </w:r>
          </w:p>
        </w:tc>
      </w:tr>
      <w:tr w:rsidR="008D0CC0" w14:paraId="7417562A" w14:textId="77777777" w:rsidTr="00883C82">
        <w:tc>
          <w:tcPr>
            <w:tcW w:w="2014" w:type="dxa"/>
            <w:vAlign w:val="center"/>
          </w:tcPr>
          <w:p w14:paraId="0D1502AC" w14:textId="77777777" w:rsidR="008D0CC0" w:rsidRDefault="008D0CC0" w:rsidP="00883C82">
            <w:r>
              <w:t>Financial result</w:t>
            </w:r>
          </w:p>
        </w:tc>
        <w:tc>
          <w:tcPr>
            <w:tcW w:w="7003" w:type="dxa"/>
            <w:gridSpan w:val="9"/>
            <w:vAlign w:val="center"/>
          </w:tcPr>
          <w:p w14:paraId="7A1433E2" w14:textId="77777777" w:rsidR="008D0CC0" w:rsidRDefault="008D0CC0" w:rsidP="00883C82">
            <w:r>
              <w:t xml:space="preserve">US$ </w:t>
            </w:r>
            <w:r w:rsidR="00DE5C05">
              <w:t>3</w:t>
            </w:r>
            <w:r>
              <w:t xml:space="preserve">.5 million </w:t>
            </w:r>
            <w:r w:rsidR="00DE5C05">
              <w:t xml:space="preserve">from the renewal of existing cards, </w:t>
            </w:r>
            <w:r>
              <w:t xml:space="preserve">assuming voluntarily </w:t>
            </w:r>
            <w:r w:rsidR="00DE5C05">
              <w:t>payment of LKR 100 per card by the users</w:t>
            </w:r>
          </w:p>
        </w:tc>
      </w:tr>
      <w:tr w:rsidR="008D0CC0" w14:paraId="5D2326ED" w14:textId="77777777" w:rsidTr="00883C82">
        <w:tc>
          <w:tcPr>
            <w:tcW w:w="2014" w:type="dxa"/>
            <w:vAlign w:val="center"/>
          </w:tcPr>
          <w:p w14:paraId="3E518D35" w14:textId="77777777" w:rsidR="008D0CC0" w:rsidRDefault="008D0CC0" w:rsidP="00883C82">
            <w:r>
              <w:t>Notes</w:t>
            </w:r>
          </w:p>
        </w:tc>
        <w:tc>
          <w:tcPr>
            <w:tcW w:w="7003" w:type="dxa"/>
            <w:gridSpan w:val="9"/>
            <w:vAlign w:val="center"/>
          </w:tcPr>
          <w:p w14:paraId="59A2FF25" w14:textId="77777777" w:rsidR="008D0CC0" w:rsidRDefault="00DE5C05" w:rsidP="00883C82">
            <w:r>
              <w:t>CBSL - Central Bank of Sri Lanka</w:t>
            </w:r>
          </w:p>
        </w:tc>
      </w:tr>
    </w:tbl>
    <w:p w14:paraId="28992EF0" w14:textId="77777777" w:rsidR="00A212BE" w:rsidRDefault="00A212BE" w:rsidP="00BB5D98">
      <w:pPr>
        <w:jc w:val="both"/>
        <w:rPr>
          <w:b/>
        </w:rPr>
      </w:pPr>
    </w:p>
    <w:p w14:paraId="17AA62B0" w14:textId="77777777" w:rsidR="00993008" w:rsidRDefault="00993008" w:rsidP="00AB20CA">
      <w:pPr>
        <w:jc w:val="both"/>
      </w:pPr>
    </w:p>
    <w:p w14:paraId="7E98C7EF" w14:textId="77777777" w:rsidR="00134360" w:rsidRPr="00A3580A" w:rsidRDefault="00993008" w:rsidP="008D23E4">
      <w:pPr>
        <w:pStyle w:val="Heading4"/>
      </w:pPr>
      <w:r w:rsidRPr="00A3580A">
        <w:t>1</w:t>
      </w:r>
      <w:r w:rsidR="00A3580A" w:rsidRPr="00A3580A">
        <w:t>0</w:t>
      </w:r>
      <w:r w:rsidRPr="00A3580A">
        <w:t>. Carbon markets</w:t>
      </w:r>
      <w:r w:rsidR="00D7701D" w:rsidRPr="00A3580A">
        <w:t>: Introduction of a voluntary CO2 carbon trading mechanism in Sri Lanka</w:t>
      </w:r>
    </w:p>
    <w:p w14:paraId="463B1F66" w14:textId="77777777" w:rsidR="00D7701D" w:rsidRDefault="00D7701D" w:rsidP="00AB20CA">
      <w:pPr>
        <w:jc w:val="both"/>
      </w:pPr>
      <w:r>
        <w:t xml:space="preserve">The proposal is </w:t>
      </w:r>
      <w:r w:rsidR="00E0613F">
        <w:t xml:space="preserve">to </w:t>
      </w:r>
      <w:r>
        <w:t>set up a voluntary carbon trading mechanism in Sri Lanka for the purpose of conservation of terrestrial and marine biodiversity. The proposal consists of a study component followed by an implementation.</w:t>
      </w:r>
    </w:p>
    <w:p w14:paraId="65306465" w14:textId="77777777" w:rsidR="00FE6A10" w:rsidRDefault="00FE6A10" w:rsidP="00AB20CA">
      <w:pPr>
        <w:jc w:val="both"/>
      </w:pPr>
      <w:r>
        <w:t>Objective</w:t>
      </w:r>
    </w:p>
    <w:p w14:paraId="0C885674" w14:textId="73C9964F" w:rsidR="00FE6A10" w:rsidRPr="00011132" w:rsidRDefault="00FE6A10" w:rsidP="00AB20CA">
      <w:pPr>
        <w:jc w:val="both"/>
      </w:pPr>
      <w:r w:rsidRPr="00011132">
        <w:t xml:space="preserve">To promote carbon-neutral production and, thereby </w:t>
      </w:r>
      <w:r w:rsidR="005C7D17" w:rsidRPr="00011132">
        <w:t xml:space="preserve">to </w:t>
      </w:r>
      <w:r w:rsidRPr="00011132">
        <w:t xml:space="preserve">generate </w:t>
      </w:r>
      <w:r w:rsidR="005C7D17" w:rsidRPr="00011132">
        <w:t xml:space="preserve">funds through </w:t>
      </w:r>
      <w:r w:rsidR="00011132" w:rsidRPr="00011132">
        <w:rPr>
          <w:rFonts w:cstheme="minorHAnsi"/>
        </w:rPr>
        <w:t>carbon offsets projects for investing in biodiversity</w:t>
      </w:r>
      <w:r w:rsidRPr="00011132">
        <w:t>.</w:t>
      </w:r>
    </w:p>
    <w:p w14:paraId="656958DC" w14:textId="77777777" w:rsidR="00D7701D" w:rsidRDefault="00D7701D" w:rsidP="00AB20CA">
      <w:pPr>
        <w:jc w:val="both"/>
      </w:pPr>
      <w:r>
        <w:t>Description</w:t>
      </w:r>
    </w:p>
    <w:p w14:paraId="1582DD05" w14:textId="77777777" w:rsidR="00D7701D" w:rsidRDefault="00DD1E2E" w:rsidP="00AB20CA">
      <w:pPr>
        <w:jc w:val="both"/>
      </w:pPr>
      <w:r>
        <w:t>There are sporadic</w:t>
      </w:r>
      <w:r w:rsidR="00991253">
        <w:t xml:space="preserve"> </w:t>
      </w:r>
      <w:r w:rsidR="001E3BF0">
        <w:t xml:space="preserve">and small-scale </w:t>
      </w:r>
      <w:r w:rsidR="00991253">
        <w:t>cases of “carbon neutral products” and “carbon market practices” carried out particularly by the private companies in Sri Lanka. The Carbon Consulting Company o</w:t>
      </w:r>
      <w:r w:rsidR="001E3BF0">
        <w:t xml:space="preserve">f Sri Lanka has been involved in forestry and mangrove conservation projects with fund generated from carbon markets. </w:t>
      </w:r>
      <w:r w:rsidR="00603FB9">
        <w:t>V</w:t>
      </w:r>
      <w:r w:rsidR="00603FB9" w:rsidRPr="00603FB9">
        <w:t xml:space="preserve">oluntary carbon offset is </w:t>
      </w:r>
      <w:r w:rsidR="00603FB9">
        <w:t xml:space="preserve">also </w:t>
      </w:r>
      <w:r w:rsidR="00603FB9" w:rsidRPr="00603FB9">
        <w:t>being practic</w:t>
      </w:r>
      <w:r w:rsidR="00603FB9">
        <w:t xml:space="preserve">ed </w:t>
      </w:r>
      <w:r w:rsidR="00603FB9" w:rsidRPr="00603FB9">
        <w:t xml:space="preserve">by </w:t>
      </w:r>
      <w:r w:rsidR="00603FB9">
        <w:t xml:space="preserve">some of </w:t>
      </w:r>
      <w:r w:rsidR="00603FB9" w:rsidRPr="00603FB9">
        <w:t xml:space="preserve">the private </w:t>
      </w:r>
      <w:r w:rsidR="00603FB9">
        <w:t xml:space="preserve">companies particularly in the </w:t>
      </w:r>
      <w:r w:rsidR="00603FB9" w:rsidRPr="00603FB9">
        <w:t xml:space="preserve">renewable </w:t>
      </w:r>
      <w:r w:rsidR="00603FB9">
        <w:t>energy projects</w:t>
      </w:r>
      <w:r w:rsidR="00603FB9" w:rsidRPr="00603FB9">
        <w:t>.</w:t>
      </w:r>
    </w:p>
    <w:p w14:paraId="5865CE46" w14:textId="7AA5AE9B" w:rsidR="001C2AED" w:rsidRDefault="001C2AED" w:rsidP="00AB20CA">
      <w:pPr>
        <w:jc w:val="both"/>
      </w:pPr>
      <w:r w:rsidRPr="001C2AED">
        <w:t>Two main categories of carbon markets that have been ident</w:t>
      </w:r>
      <w:r w:rsidR="00FE6A10">
        <w:t>ified are the a) E</w:t>
      </w:r>
      <w:r w:rsidRPr="001C2AED">
        <w:t>m</w:t>
      </w:r>
      <w:r w:rsidR="00FE6A10">
        <w:t>issions Trading Systems and B) Voluntary Carbon S</w:t>
      </w:r>
      <w:r w:rsidRPr="001C2AED">
        <w:t>cheme. Voluntary demand for carbon offsets is driven by companies and individuals that take responsibility for offsetting their own emissions.</w:t>
      </w:r>
      <w:r w:rsidR="00011132">
        <w:t xml:space="preserve"> The proposal is for </w:t>
      </w:r>
      <w:r w:rsidR="00011132" w:rsidRPr="00011132">
        <w:t>carbon offsets projects,</w:t>
      </w:r>
      <w:r w:rsidR="00011132">
        <w:t xml:space="preserve"> while the fund utilization is strictly for biodiversity projects that are recommended with appropriate ecological</w:t>
      </w:r>
      <w:r w:rsidR="00011132" w:rsidRPr="00011132">
        <w:t xml:space="preserve"> standard</w:t>
      </w:r>
      <w:r w:rsidR="00011132">
        <w:t>s.</w:t>
      </w:r>
    </w:p>
    <w:p w14:paraId="2EB10885" w14:textId="3F6276C3" w:rsidR="000B7821" w:rsidRDefault="001E3BF0" w:rsidP="00D7701D">
      <w:pPr>
        <w:jc w:val="both"/>
      </w:pPr>
      <w:r>
        <w:t xml:space="preserve">Under the proposed finance solution, there is an opportunity to capitalize on and scale-up the above initiatives by establishing an institutionalized </w:t>
      </w:r>
      <w:r w:rsidR="00567676">
        <w:t xml:space="preserve">international </w:t>
      </w:r>
      <w:r>
        <w:t>carbon market with the involvement of the government</w:t>
      </w:r>
      <w:r w:rsidR="004038A4">
        <w:t>, NGOs and the corporate sector</w:t>
      </w:r>
      <w:r>
        <w:t>.</w:t>
      </w:r>
      <w:r w:rsidR="00C11D98">
        <w:t xml:space="preserve"> </w:t>
      </w:r>
      <w:r w:rsidR="00567676">
        <w:t xml:space="preserve">The initiative requires </w:t>
      </w:r>
      <w:r w:rsidR="005220DB">
        <w:t>to carry out a study which</w:t>
      </w:r>
      <w:r w:rsidR="00567676">
        <w:t xml:space="preserve"> should focus on the establishment of an international carbon market mechanism</w:t>
      </w:r>
      <w:r w:rsidR="005220DB">
        <w:t xml:space="preserve"> as a means of biodiversity conservation. </w:t>
      </w:r>
      <w:r w:rsidR="001C2AED">
        <w:t>The</w:t>
      </w:r>
      <w:r w:rsidR="005220DB">
        <w:t xml:space="preserve"> initiat</w:t>
      </w:r>
      <w:r w:rsidR="00C11D98">
        <w:t>ive requires an estimation and application of a</w:t>
      </w:r>
      <w:r w:rsidR="00D7701D">
        <w:t xml:space="preserve"> price on carbon emissions</w:t>
      </w:r>
      <w:r w:rsidR="00C11D98">
        <w:t xml:space="preserve"> from economic activities</w:t>
      </w:r>
      <w:r w:rsidR="005220DB">
        <w:t xml:space="preserve"> </w:t>
      </w:r>
      <w:r w:rsidR="001C2AED">
        <w:t xml:space="preserve">on the one hand </w:t>
      </w:r>
      <w:r w:rsidR="005220DB">
        <w:t>and</w:t>
      </w:r>
      <w:r w:rsidR="00D7701D">
        <w:t xml:space="preserve">, </w:t>
      </w:r>
      <w:r w:rsidR="00C11D98">
        <w:t xml:space="preserve">specific carbon offsetting </w:t>
      </w:r>
      <w:proofErr w:type="spellStart"/>
      <w:r w:rsidR="00C11D98">
        <w:t>programmes</w:t>
      </w:r>
      <w:proofErr w:type="spellEnd"/>
      <w:r w:rsidR="00C11D98">
        <w:t xml:space="preserve"> in the area of biodiversity conservation</w:t>
      </w:r>
      <w:r w:rsidR="001C2AED">
        <w:t xml:space="preserve"> on the other hand</w:t>
      </w:r>
      <w:r w:rsidR="00C11D98">
        <w:t xml:space="preserve"> and, </w:t>
      </w:r>
      <w:r w:rsidR="001C2AED">
        <w:t xml:space="preserve">then </w:t>
      </w:r>
      <w:r w:rsidR="00C11D98">
        <w:t xml:space="preserve">an institutional and operational mechanism in mediating the two sides. The proposal is to establish this institutional and operational mechanism with the central role assigned to the government. </w:t>
      </w:r>
    </w:p>
    <w:p w14:paraId="10E8FBE9" w14:textId="1D099F85" w:rsidR="00A825DF" w:rsidRDefault="00A825DF" w:rsidP="00D7701D">
      <w:pPr>
        <w:jc w:val="both"/>
      </w:pPr>
      <w:r>
        <w:t xml:space="preserve">A specific government agency operating under the purview of the Ministry of Mahaweli Development and Environment </w:t>
      </w:r>
      <w:r w:rsidR="002F4622">
        <w:t xml:space="preserve">in partnership with private agencies </w:t>
      </w:r>
      <w:r>
        <w:t xml:space="preserve">will undertake the central role to play </w:t>
      </w:r>
      <w:r w:rsidR="002F4622">
        <w:t>in establishing and implementing the carbon market.</w:t>
      </w:r>
      <w:r w:rsidR="007608B6">
        <w:t xml:space="preserve"> The agency is expected to provide guidelines for evaluating and assessing carbon emissions in different firms and organizations, operating locally and globally. The firms and organizations which seek to offset their carbon emissions will be connected to the buyers – the local firms, organizations and government agencies which carry out carbon-offsetting investments.  </w:t>
      </w:r>
    </w:p>
    <w:p w14:paraId="58A0B1BA" w14:textId="77777777" w:rsidR="00567676" w:rsidRDefault="00F604A3" w:rsidP="00D7701D">
      <w:pPr>
        <w:jc w:val="both"/>
      </w:pPr>
      <w:r>
        <w:t>Business case</w:t>
      </w:r>
    </w:p>
    <w:p w14:paraId="27CF1D7D" w14:textId="77777777" w:rsidR="00F604A3" w:rsidRDefault="00F22DD6" w:rsidP="00F22DD6">
      <w:pPr>
        <w:jc w:val="both"/>
      </w:pPr>
      <w:r>
        <w:t xml:space="preserve">The voluntary implementation of carbon credit generation projects and carbon emission offset projects in Sri Lanka shows the recognition of the importance of such practices </w:t>
      </w:r>
      <w:r w:rsidR="008109AE">
        <w:t xml:space="preserve">by the private sector. It is also an important area where the private sector companies can demonstrate their CSR </w:t>
      </w:r>
      <w:r>
        <w:t xml:space="preserve">as </w:t>
      </w:r>
      <w:r w:rsidR="008109AE">
        <w:t>responsible private sector organizations to the business world.</w:t>
      </w:r>
      <w:r w:rsidR="00ED4F78">
        <w:t xml:space="preserve"> The finance solution is expected to be an important mechanism for the corporate sector, both in Sri Lanka and in the world, t</w:t>
      </w:r>
      <w:r>
        <w:t>o demonstrate their environmental and social responsibility by becoming more environmen</w:t>
      </w:r>
      <w:r w:rsidR="00ED4F78">
        <w:t xml:space="preserve">tal conscious business entities. They will </w:t>
      </w:r>
      <w:r>
        <w:t>be interested to quantifying the carbon emissions which eventually will provide them with direct benefits of reducing their recourse consumption. There is growing trend to offset the emissions and make themselves carbon neutral to enhance their reputation and brand value. This can be used to promote a company a</w:t>
      </w:r>
      <w:r w:rsidR="00ED4F78">
        <w:t>n</w:t>
      </w:r>
      <w:r>
        <w:t>d create a market value</w:t>
      </w:r>
      <w:r w:rsidR="00ED4F78">
        <w:t xml:space="preserve"> with a competitive edge</w:t>
      </w:r>
      <w:r>
        <w:t xml:space="preserve">. </w:t>
      </w:r>
    </w:p>
    <w:p w14:paraId="4FAB13FC" w14:textId="77777777" w:rsidR="00DB39F1" w:rsidRDefault="00422C2C" w:rsidP="00D7701D">
      <w:pPr>
        <w:jc w:val="both"/>
      </w:pPr>
      <w:r>
        <w:t>Responsibility</w:t>
      </w:r>
    </w:p>
    <w:p w14:paraId="712A80A3" w14:textId="4E0F8BFC" w:rsidR="00422C2C" w:rsidRDefault="005A52B2" w:rsidP="00D7701D">
      <w:pPr>
        <w:jc w:val="both"/>
      </w:pPr>
      <w:r>
        <w:t xml:space="preserve">The Ministry of Mahaweli Development </w:t>
      </w:r>
      <w:r w:rsidR="00422C2C">
        <w:t xml:space="preserve">has the potential mandate to undertake the main role to play in establishing carbon market in Sri </w:t>
      </w:r>
      <w:r w:rsidR="007A7259">
        <w:t>Lanka.</w:t>
      </w:r>
      <w:r w:rsidR="000368F5">
        <w:t xml:space="preserve"> </w:t>
      </w:r>
      <w:r w:rsidR="001121F6">
        <w:t xml:space="preserve"> With its leading role, the MMDE can partner with NGOs and private companies that are specialized in the area of carbon markets, and the corporate sector bodies which have the concern over carbon market activity. The Steering and Technical committees appointed by the above can carry out the process providing studies, technical details and recommendations to establish the carbon market. These committees will also formulate implementation plans for investment in identified projects for biodiversity conservation with funds generated in the carbon market.</w:t>
      </w:r>
    </w:p>
    <w:p w14:paraId="1F40089A" w14:textId="4B4FC9E3" w:rsidR="00FF6560" w:rsidRDefault="00FF6560" w:rsidP="00D7701D">
      <w:pPr>
        <w:jc w:val="both"/>
      </w:pPr>
      <w:r>
        <w:t>Financial result</w:t>
      </w:r>
    </w:p>
    <w:p w14:paraId="2537088D" w14:textId="30CDDA59" w:rsidR="00FF6560" w:rsidRDefault="00A553B6" w:rsidP="00A553B6">
      <w:pPr>
        <w:jc w:val="both"/>
      </w:pPr>
      <w:r>
        <w:t xml:space="preserve">The current </w:t>
      </w:r>
      <w:proofErr w:type="gramStart"/>
      <w:r>
        <w:t>forest based</w:t>
      </w:r>
      <w:proofErr w:type="gramEnd"/>
      <w:r>
        <w:t xml:space="preserve"> carbon credit price is US$ 15 per unit. Given the above information, it is reasonably assumed that 100,000 carbon credits would be offset through carbon credit market at average price of US$ 15 per unit. This will generate US$ 150,000 new finances a year from both local and international companies.</w:t>
      </w:r>
    </w:p>
    <w:p w14:paraId="755B4E7B" w14:textId="3BC2F7F0" w:rsidR="00A54B18" w:rsidRDefault="00A54B18" w:rsidP="00A553B6">
      <w:pPr>
        <w:jc w:val="both"/>
      </w:pPr>
      <w:r>
        <w:t>The contribution of the finance solution to national biodiversity targets depend on the choice of carbon offset projects with appropriate ecological standards. As most of the projects are assumed to be for the conservation of habitat losses and species losses which should also receive the highest priority, the solution is expected to contribute to achieving national targets 2 and 4 as outlined in the NBSAP.</w:t>
      </w:r>
    </w:p>
    <w:p w14:paraId="0695E21B" w14:textId="77777777" w:rsidR="00587F16" w:rsidRDefault="00703B57" w:rsidP="00BB5D98">
      <w:pPr>
        <w:jc w:val="both"/>
      </w:pPr>
      <w:r>
        <w:t>Action plan</w:t>
      </w:r>
    </w:p>
    <w:tbl>
      <w:tblPr>
        <w:tblStyle w:val="TableGrid"/>
        <w:tblW w:w="0" w:type="auto"/>
        <w:tblLook w:val="04A0" w:firstRow="1" w:lastRow="0" w:firstColumn="1" w:lastColumn="0" w:noHBand="0" w:noVBand="1"/>
      </w:tblPr>
      <w:tblGrid>
        <w:gridCol w:w="2014"/>
        <w:gridCol w:w="2039"/>
        <w:gridCol w:w="1506"/>
        <w:gridCol w:w="494"/>
        <w:gridCol w:w="494"/>
        <w:gridCol w:w="494"/>
        <w:gridCol w:w="494"/>
        <w:gridCol w:w="494"/>
        <w:gridCol w:w="494"/>
        <w:gridCol w:w="494"/>
      </w:tblGrid>
      <w:tr w:rsidR="00630BDE" w14:paraId="65EBDE30" w14:textId="77777777" w:rsidTr="007342BA">
        <w:tc>
          <w:tcPr>
            <w:tcW w:w="2014" w:type="dxa"/>
            <w:vMerge w:val="restart"/>
            <w:vAlign w:val="center"/>
          </w:tcPr>
          <w:p w14:paraId="3F0FE712" w14:textId="77777777" w:rsidR="00630BDE" w:rsidRPr="00C27851" w:rsidRDefault="00630BDE" w:rsidP="005C7CAD">
            <w:pPr>
              <w:jc w:val="center"/>
            </w:pPr>
            <w:r w:rsidRPr="00C27851">
              <w:t>Output</w:t>
            </w:r>
          </w:p>
        </w:tc>
        <w:tc>
          <w:tcPr>
            <w:tcW w:w="2039" w:type="dxa"/>
            <w:vMerge w:val="restart"/>
            <w:vAlign w:val="center"/>
          </w:tcPr>
          <w:p w14:paraId="60207F65" w14:textId="77777777" w:rsidR="00630BDE" w:rsidRPr="00C27851" w:rsidRDefault="00630BDE" w:rsidP="005C7CAD">
            <w:pPr>
              <w:jc w:val="center"/>
            </w:pPr>
            <w:r w:rsidRPr="00C27851">
              <w:t>Main activities</w:t>
            </w:r>
          </w:p>
        </w:tc>
        <w:tc>
          <w:tcPr>
            <w:tcW w:w="1506" w:type="dxa"/>
            <w:vMerge w:val="restart"/>
            <w:vAlign w:val="center"/>
          </w:tcPr>
          <w:p w14:paraId="59C42812" w14:textId="77777777" w:rsidR="00630BDE" w:rsidRPr="00C27851" w:rsidRDefault="00630BDE" w:rsidP="005C7CAD">
            <w:pPr>
              <w:jc w:val="center"/>
            </w:pPr>
            <w:r w:rsidRPr="00C27851">
              <w:t>Responsibility</w:t>
            </w:r>
          </w:p>
        </w:tc>
        <w:tc>
          <w:tcPr>
            <w:tcW w:w="3458" w:type="dxa"/>
            <w:gridSpan w:val="7"/>
            <w:vAlign w:val="center"/>
          </w:tcPr>
          <w:p w14:paraId="55422755" w14:textId="77777777" w:rsidR="00630BDE" w:rsidRPr="00C27851" w:rsidRDefault="00630BDE" w:rsidP="005C7CAD">
            <w:pPr>
              <w:jc w:val="center"/>
            </w:pPr>
            <w:r w:rsidRPr="00C27851">
              <w:t>Year</w:t>
            </w:r>
          </w:p>
        </w:tc>
      </w:tr>
      <w:tr w:rsidR="00630BDE" w14:paraId="58A6AF81" w14:textId="77777777" w:rsidTr="007342BA">
        <w:tc>
          <w:tcPr>
            <w:tcW w:w="2014" w:type="dxa"/>
            <w:vMerge/>
            <w:vAlign w:val="center"/>
          </w:tcPr>
          <w:p w14:paraId="24B7D060" w14:textId="77777777" w:rsidR="00630BDE" w:rsidRDefault="00630BDE" w:rsidP="005C7CAD">
            <w:pPr>
              <w:jc w:val="center"/>
            </w:pPr>
          </w:p>
        </w:tc>
        <w:tc>
          <w:tcPr>
            <w:tcW w:w="2039" w:type="dxa"/>
            <w:vMerge/>
            <w:vAlign w:val="center"/>
          </w:tcPr>
          <w:p w14:paraId="3AC1ACCC" w14:textId="77777777" w:rsidR="00630BDE" w:rsidRDefault="00630BDE" w:rsidP="005C7CAD">
            <w:pPr>
              <w:jc w:val="center"/>
            </w:pPr>
          </w:p>
        </w:tc>
        <w:tc>
          <w:tcPr>
            <w:tcW w:w="1506" w:type="dxa"/>
            <w:vMerge/>
            <w:vAlign w:val="center"/>
          </w:tcPr>
          <w:p w14:paraId="330ED13F" w14:textId="77777777" w:rsidR="00630BDE" w:rsidRDefault="00630BDE" w:rsidP="005C7CAD">
            <w:pPr>
              <w:jc w:val="center"/>
            </w:pPr>
          </w:p>
        </w:tc>
        <w:tc>
          <w:tcPr>
            <w:tcW w:w="494" w:type="dxa"/>
            <w:vAlign w:val="center"/>
          </w:tcPr>
          <w:p w14:paraId="5A7E2E22" w14:textId="77777777" w:rsidR="00630BDE" w:rsidRDefault="00630BDE" w:rsidP="005C7CAD">
            <w:pPr>
              <w:jc w:val="center"/>
            </w:pPr>
            <w:r w:rsidRPr="00C27851">
              <w:t>‘18</w:t>
            </w:r>
          </w:p>
        </w:tc>
        <w:tc>
          <w:tcPr>
            <w:tcW w:w="494" w:type="dxa"/>
            <w:vAlign w:val="center"/>
          </w:tcPr>
          <w:p w14:paraId="35BCBCCC" w14:textId="77777777" w:rsidR="00630BDE" w:rsidRDefault="00630BDE" w:rsidP="005C7CAD">
            <w:pPr>
              <w:jc w:val="center"/>
            </w:pPr>
            <w:r w:rsidRPr="00C27851">
              <w:t>‘19</w:t>
            </w:r>
          </w:p>
        </w:tc>
        <w:tc>
          <w:tcPr>
            <w:tcW w:w="494" w:type="dxa"/>
            <w:vAlign w:val="center"/>
          </w:tcPr>
          <w:p w14:paraId="24A3ADE9" w14:textId="77777777" w:rsidR="00630BDE" w:rsidRDefault="00630BDE" w:rsidP="005C7CAD">
            <w:pPr>
              <w:jc w:val="center"/>
            </w:pPr>
            <w:r w:rsidRPr="00C27851">
              <w:t>‘20</w:t>
            </w:r>
          </w:p>
        </w:tc>
        <w:tc>
          <w:tcPr>
            <w:tcW w:w="494" w:type="dxa"/>
            <w:vAlign w:val="center"/>
          </w:tcPr>
          <w:p w14:paraId="36538848" w14:textId="77777777" w:rsidR="00630BDE" w:rsidRDefault="00630BDE" w:rsidP="005C7CAD">
            <w:pPr>
              <w:jc w:val="center"/>
            </w:pPr>
            <w:r w:rsidRPr="00C27851">
              <w:t>‘21</w:t>
            </w:r>
          </w:p>
        </w:tc>
        <w:tc>
          <w:tcPr>
            <w:tcW w:w="494" w:type="dxa"/>
            <w:vAlign w:val="center"/>
          </w:tcPr>
          <w:p w14:paraId="3D9FF452" w14:textId="77777777" w:rsidR="00630BDE" w:rsidRDefault="00630BDE" w:rsidP="005C7CAD">
            <w:pPr>
              <w:jc w:val="center"/>
            </w:pPr>
            <w:r w:rsidRPr="00C27851">
              <w:t>‘22</w:t>
            </w:r>
          </w:p>
        </w:tc>
        <w:tc>
          <w:tcPr>
            <w:tcW w:w="494" w:type="dxa"/>
            <w:vAlign w:val="center"/>
          </w:tcPr>
          <w:p w14:paraId="3C6CB02D" w14:textId="77777777" w:rsidR="00630BDE" w:rsidRDefault="00630BDE" w:rsidP="005C7CAD">
            <w:pPr>
              <w:jc w:val="center"/>
            </w:pPr>
            <w:r w:rsidRPr="00C27851">
              <w:t>‘23</w:t>
            </w:r>
          </w:p>
        </w:tc>
        <w:tc>
          <w:tcPr>
            <w:tcW w:w="494" w:type="dxa"/>
            <w:vAlign w:val="center"/>
          </w:tcPr>
          <w:p w14:paraId="30AF85A4" w14:textId="77777777" w:rsidR="00630BDE" w:rsidRDefault="00630BDE" w:rsidP="005C7CAD">
            <w:pPr>
              <w:jc w:val="center"/>
            </w:pPr>
            <w:r w:rsidRPr="00C27851">
              <w:t>‘24</w:t>
            </w:r>
          </w:p>
        </w:tc>
      </w:tr>
      <w:tr w:rsidR="00853C59" w14:paraId="42F8F3AD" w14:textId="77777777" w:rsidTr="00853C59">
        <w:tc>
          <w:tcPr>
            <w:tcW w:w="2014" w:type="dxa"/>
            <w:vMerge w:val="restart"/>
            <w:vAlign w:val="center"/>
          </w:tcPr>
          <w:p w14:paraId="6B66043A" w14:textId="77777777" w:rsidR="00853C59" w:rsidRDefault="00853C59" w:rsidP="00853C59">
            <w:r>
              <w:t>Plan for the carbon market</w:t>
            </w:r>
          </w:p>
        </w:tc>
        <w:tc>
          <w:tcPr>
            <w:tcW w:w="2039" w:type="dxa"/>
            <w:vAlign w:val="center"/>
          </w:tcPr>
          <w:p w14:paraId="43BD0E92" w14:textId="77777777" w:rsidR="00853C59" w:rsidRDefault="00853C59" w:rsidP="007342BA">
            <w:r>
              <w:t>Meeting with the major stakeholders and expertise entities</w:t>
            </w:r>
          </w:p>
        </w:tc>
        <w:tc>
          <w:tcPr>
            <w:tcW w:w="1506" w:type="dxa"/>
            <w:vAlign w:val="center"/>
          </w:tcPr>
          <w:p w14:paraId="46E4C74A" w14:textId="77777777" w:rsidR="00853C59" w:rsidRDefault="00BD0DCC" w:rsidP="007342BA">
            <w:r>
              <w:t>MMDE</w:t>
            </w:r>
          </w:p>
        </w:tc>
        <w:tc>
          <w:tcPr>
            <w:tcW w:w="494" w:type="dxa"/>
            <w:shd w:val="clear" w:color="auto" w:fill="FFFFFF" w:themeFill="background1"/>
            <w:vAlign w:val="center"/>
          </w:tcPr>
          <w:p w14:paraId="51BE29F7" w14:textId="77777777" w:rsidR="00853C59" w:rsidRDefault="00853C59" w:rsidP="005C7CAD">
            <w:pPr>
              <w:jc w:val="center"/>
            </w:pPr>
          </w:p>
        </w:tc>
        <w:tc>
          <w:tcPr>
            <w:tcW w:w="494" w:type="dxa"/>
            <w:shd w:val="clear" w:color="auto" w:fill="BFBFBF" w:themeFill="background1" w:themeFillShade="BF"/>
            <w:vAlign w:val="center"/>
          </w:tcPr>
          <w:p w14:paraId="075CB888" w14:textId="77777777" w:rsidR="00853C59" w:rsidRDefault="00853C59" w:rsidP="005C7CAD">
            <w:pPr>
              <w:jc w:val="center"/>
            </w:pPr>
          </w:p>
        </w:tc>
        <w:tc>
          <w:tcPr>
            <w:tcW w:w="494" w:type="dxa"/>
            <w:vAlign w:val="center"/>
          </w:tcPr>
          <w:p w14:paraId="0B1FFE0B" w14:textId="77777777" w:rsidR="00853C59" w:rsidRDefault="00853C59" w:rsidP="005C7CAD">
            <w:pPr>
              <w:jc w:val="center"/>
            </w:pPr>
          </w:p>
        </w:tc>
        <w:tc>
          <w:tcPr>
            <w:tcW w:w="494" w:type="dxa"/>
            <w:vAlign w:val="center"/>
          </w:tcPr>
          <w:p w14:paraId="6561AE28" w14:textId="77777777" w:rsidR="00853C59" w:rsidRDefault="00853C59" w:rsidP="005C7CAD">
            <w:pPr>
              <w:jc w:val="center"/>
            </w:pPr>
          </w:p>
        </w:tc>
        <w:tc>
          <w:tcPr>
            <w:tcW w:w="494" w:type="dxa"/>
            <w:vAlign w:val="center"/>
          </w:tcPr>
          <w:p w14:paraId="6F631D47" w14:textId="77777777" w:rsidR="00853C59" w:rsidRDefault="00853C59" w:rsidP="005C7CAD">
            <w:pPr>
              <w:jc w:val="center"/>
            </w:pPr>
          </w:p>
        </w:tc>
        <w:tc>
          <w:tcPr>
            <w:tcW w:w="494" w:type="dxa"/>
            <w:vAlign w:val="center"/>
          </w:tcPr>
          <w:p w14:paraId="48672A73" w14:textId="77777777" w:rsidR="00853C59" w:rsidRDefault="00853C59" w:rsidP="005C7CAD">
            <w:pPr>
              <w:jc w:val="center"/>
            </w:pPr>
          </w:p>
        </w:tc>
        <w:tc>
          <w:tcPr>
            <w:tcW w:w="494" w:type="dxa"/>
            <w:vAlign w:val="center"/>
          </w:tcPr>
          <w:p w14:paraId="38D448C8" w14:textId="77777777" w:rsidR="00853C59" w:rsidRDefault="00853C59" w:rsidP="005C7CAD">
            <w:pPr>
              <w:jc w:val="center"/>
            </w:pPr>
          </w:p>
        </w:tc>
      </w:tr>
      <w:tr w:rsidR="00853C59" w14:paraId="69366B71" w14:textId="77777777" w:rsidTr="00853C59">
        <w:tc>
          <w:tcPr>
            <w:tcW w:w="2014" w:type="dxa"/>
            <w:vMerge/>
            <w:vAlign w:val="center"/>
          </w:tcPr>
          <w:p w14:paraId="63A91793" w14:textId="77777777" w:rsidR="00853C59" w:rsidRDefault="00853C59" w:rsidP="00853C59"/>
        </w:tc>
        <w:tc>
          <w:tcPr>
            <w:tcW w:w="2039" w:type="dxa"/>
            <w:vAlign w:val="center"/>
          </w:tcPr>
          <w:p w14:paraId="68FA5989" w14:textId="77777777" w:rsidR="00853C59" w:rsidRDefault="00853C59" w:rsidP="007342BA">
            <w:r>
              <w:t>Establish SC &amp; TC from representatives of the stakeholders</w:t>
            </w:r>
          </w:p>
        </w:tc>
        <w:tc>
          <w:tcPr>
            <w:tcW w:w="1506" w:type="dxa"/>
            <w:vAlign w:val="center"/>
          </w:tcPr>
          <w:p w14:paraId="6749D5A0" w14:textId="77777777" w:rsidR="00853C59" w:rsidRDefault="00BD0DCC" w:rsidP="007342BA">
            <w:r>
              <w:t>MMDE</w:t>
            </w:r>
          </w:p>
        </w:tc>
        <w:tc>
          <w:tcPr>
            <w:tcW w:w="494" w:type="dxa"/>
            <w:shd w:val="clear" w:color="auto" w:fill="FFFFFF" w:themeFill="background1"/>
            <w:vAlign w:val="center"/>
          </w:tcPr>
          <w:p w14:paraId="16955ACE" w14:textId="77777777" w:rsidR="00853C59" w:rsidRDefault="00853C59" w:rsidP="005C7CAD">
            <w:pPr>
              <w:jc w:val="center"/>
            </w:pPr>
          </w:p>
        </w:tc>
        <w:tc>
          <w:tcPr>
            <w:tcW w:w="494" w:type="dxa"/>
            <w:shd w:val="clear" w:color="auto" w:fill="BFBFBF" w:themeFill="background1" w:themeFillShade="BF"/>
            <w:vAlign w:val="center"/>
          </w:tcPr>
          <w:p w14:paraId="7AC95817" w14:textId="77777777" w:rsidR="00853C59" w:rsidRDefault="00853C59" w:rsidP="005C7CAD">
            <w:pPr>
              <w:jc w:val="center"/>
            </w:pPr>
          </w:p>
        </w:tc>
        <w:tc>
          <w:tcPr>
            <w:tcW w:w="494" w:type="dxa"/>
            <w:vAlign w:val="center"/>
          </w:tcPr>
          <w:p w14:paraId="19456098" w14:textId="77777777" w:rsidR="00853C59" w:rsidRDefault="00853C59" w:rsidP="005C7CAD">
            <w:pPr>
              <w:jc w:val="center"/>
            </w:pPr>
          </w:p>
        </w:tc>
        <w:tc>
          <w:tcPr>
            <w:tcW w:w="494" w:type="dxa"/>
            <w:vAlign w:val="center"/>
          </w:tcPr>
          <w:p w14:paraId="159772F9" w14:textId="77777777" w:rsidR="00853C59" w:rsidRDefault="00853C59" w:rsidP="005C7CAD">
            <w:pPr>
              <w:jc w:val="center"/>
            </w:pPr>
          </w:p>
        </w:tc>
        <w:tc>
          <w:tcPr>
            <w:tcW w:w="494" w:type="dxa"/>
            <w:vAlign w:val="center"/>
          </w:tcPr>
          <w:p w14:paraId="6E22866F" w14:textId="77777777" w:rsidR="00853C59" w:rsidRDefault="00853C59" w:rsidP="005C7CAD">
            <w:pPr>
              <w:jc w:val="center"/>
            </w:pPr>
          </w:p>
        </w:tc>
        <w:tc>
          <w:tcPr>
            <w:tcW w:w="494" w:type="dxa"/>
            <w:vAlign w:val="center"/>
          </w:tcPr>
          <w:p w14:paraId="3D8C3135" w14:textId="77777777" w:rsidR="00853C59" w:rsidRDefault="00853C59" w:rsidP="005C7CAD">
            <w:pPr>
              <w:jc w:val="center"/>
            </w:pPr>
          </w:p>
        </w:tc>
        <w:tc>
          <w:tcPr>
            <w:tcW w:w="494" w:type="dxa"/>
            <w:vAlign w:val="center"/>
          </w:tcPr>
          <w:p w14:paraId="464892D9" w14:textId="77777777" w:rsidR="00853C59" w:rsidRDefault="00853C59" w:rsidP="005C7CAD">
            <w:pPr>
              <w:jc w:val="center"/>
            </w:pPr>
          </w:p>
        </w:tc>
      </w:tr>
      <w:tr w:rsidR="00853C59" w14:paraId="1B32BF9B" w14:textId="77777777" w:rsidTr="00853C59">
        <w:tc>
          <w:tcPr>
            <w:tcW w:w="2014" w:type="dxa"/>
            <w:vMerge/>
            <w:vAlign w:val="center"/>
          </w:tcPr>
          <w:p w14:paraId="67C4BB5E" w14:textId="77777777" w:rsidR="00853C59" w:rsidRDefault="00853C59" w:rsidP="007342BA"/>
        </w:tc>
        <w:tc>
          <w:tcPr>
            <w:tcW w:w="2039" w:type="dxa"/>
            <w:vAlign w:val="center"/>
          </w:tcPr>
          <w:p w14:paraId="015505E1" w14:textId="77777777" w:rsidR="00853C59" w:rsidRDefault="00853C59" w:rsidP="007342BA">
            <w:r>
              <w:t>Carrying out the studies and recommendations</w:t>
            </w:r>
          </w:p>
        </w:tc>
        <w:tc>
          <w:tcPr>
            <w:tcW w:w="1506" w:type="dxa"/>
            <w:vAlign w:val="center"/>
          </w:tcPr>
          <w:p w14:paraId="35CF3E76" w14:textId="77777777" w:rsidR="00853C59" w:rsidRDefault="00BD0DCC" w:rsidP="007342BA">
            <w:r>
              <w:t>SC &amp; TC</w:t>
            </w:r>
          </w:p>
        </w:tc>
        <w:tc>
          <w:tcPr>
            <w:tcW w:w="494" w:type="dxa"/>
            <w:vAlign w:val="center"/>
          </w:tcPr>
          <w:p w14:paraId="6A9C17C5" w14:textId="77777777" w:rsidR="00853C59" w:rsidRDefault="00853C59" w:rsidP="005C7CAD">
            <w:pPr>
              <w:jc w:val="center"/>
            </w:pPr>
          </w:p>
        </w:tc>
        <w:tc>
          <w:tcPr>
            <w:tcW w:w="494" w:type="dxa"/>
            <w:shd w:val="clear" w:color="auto" w:fill="BFBFBF" w:themeFill="background1" w:themeFillShade="BF"/>
            <w:vAlign w:val="center"/>
          </w:tcPr>
          <w:p w14:paraId="0148E33F" w14:textId="77777777" w:rsidR="00853C59" w:rsidRDefault="00853C59" w:rsidP="005C7CAD">
            <w:pPr>
              <w:jc w:val="center"/>
            </w:pPr>
          </w:p>
        </w:tc>
        <w:tc>
          <w:tcPr>
            <w:tcW w:w="494" w:type="dxa"/>
            <w:shd w:val="clear" w:color="auto" w:fill="BFBFBF" w:themeFill="background1" w:themeFillShade="BF"/>
            <w:vAlign w:val="center"/>
          </w:tcPr>
          <w:p w14:paraId="644292F8" w14:textId="77777777" w:rsidR="00853C59" w:rsidRDefault="00853C59" w:rsidP="005C7CAD">
            <w:pPr>
              <w:jc w:val="center"/>
            </w:pPr>
          </w:p>
        </w:tc>
        <w:tc>
          <w:tcPr>
            <w:tcW w:w="494" w:type="dxa"/>
            <w:vAlign w:val="center"/>
          </w:tcPr>
          <w:p w14:paraId="690D1EF1" w14:textId="77777777" w:rsidR="00853C59" w:rsidRDefault="00853C59" w:rsidP="005C7CAD">
            <w:pPr>
              <w:jc w:val="center"/>
            </w:pPr>
          </w:p>
        </w:tc>
        <w:tc>
          <w:tcPr>
            <w:tcW w:w="494" w:type="dxa"/>
            <w:vAlign w:val="center"/>
          </w:tcPr>
          <w:p w14:paraId="3768E99B" w14:textId="77777777" w:rsidR="00853C59" w:rsidRDefault="00853C59" w:rsidP="005C7CAD">
            <w:pPr>
              <w:jc w:val="center"/>
            </w:pPr>
          </w:p>
        </w:tc>
        <w:tc>
          <w:tcPr>
            <w:tcW w:w="494" w:type="dxa"/>
            <w:vAlign w:val="center"/>
          </w:tcPr>
          <w:p w14:paraId="4ED6A1EB" w14:textId="77777777" w:rsidR="00853C59" w:rsidRDefault="00853C59" w:rsidP="005C7CAD">
            <w:pPr>
              <w:jc w:val="center"/>
            </w:pPr>
          </w:p>
        </w:tc>
        <w:tc>
          <w:tcPr>
            <w:tcW w:w="494" w:type="dxa"/>
            <w:vAlign w:val="center"/>
          </w:tcPr>
          <w:p w14:paraId="1B0EA092" w14:textId="77777777" w:rsidR="00853C59" w:rsidRDefault="00853C59" w:rsidP="005C7CAD">
            <w:pPr>
              <w:jc w:val="center"/>
            </w:pPr>
          </w:p>
        </w:tc>
      </w:tr>
      <w:tr w:rsidR="00853C59" w14:paraId="51CC7962" w14:textId="77777777" w:rsidTr="00853C59">
        <w:tc>
          <w:tcPr>
            <w:tcW w:w="2014" w:type="dxa"/>
            <w:vMerge/>
            <w:vAlign w:val="center"/>
          </w:tcPr>
          <w:p w14:paraId="04ED6A7D" w14:textId="77777777" w:rsidR="00853C59" w:rsidRDefault="00853C59" w:rsidP="007342BA"/>
        </w:tc>
        <w:tc>
          <w:tcPr>
            <w:tcW w:w="2039" w:type="dxa"/>
            <w:vAlign w:val="center"/>
          </w:tcPr>
          <w:p w14:paraId="231AF456" w14:textId="77777777" w:rsidR="00853C59" w:rsidRDefault="00853C59" w:rsidP="007342BA">
            <w:r>
              <w:t>Institutional and regulatory analysis</w:t>
            </w:r>
          </w:p>
        </w:tc>
        <w:tc>
          <w:tcPr>
            <w:tcW w:w="1506" w:type="dxa"/>
            <w:vAlign w:val="center"/>
          </w:tcPr>
          <w:p w14:paraId="5C1C4030" w14:textId="77777777" w:rsidR="00853C59" w:rsidRDefault="00BD0DCC" w:rsidP="007342BA">
            <w:r>
              <w:t>SC &amp; TC</w:t>
            </w:r>
          </w:p>
        </w:tc>
        <w:tc>
          <w:tcPr>
            <w:tcW w:w="494" w:type="dxa"/>
            <w:vAlign w:val="center"/>
          </w:tcPr>
          <w:p w14:paraId="42D74D13" w14:textId="77777777" w:rsidR="00853C59" w:rsidRDefault="00853C59" w:rsidP="005C7CAD">
            <w:pPr>
              <w:jc w:val="center"/>
            </w:pPr>
          </w:p>
        </w:tc>
        <w:tc>
          <w:tcPr>
            <w:tcW w:w="494" w:type="dxa"/>
            <w:shd w:val="clear" w:color="auto" w:fill="FFFFFF" w:themeFill="background1"/>
            <w:vAlign w:val="center"/>
          </w:tcPr>
          <w:p w14:paraId="58B4B15C" w14:textId="77777777" w:rsidR="00853C59" w:rsidRDefault="00853C59" w:rsidP="005C7CAD">
            <w:pPr>
              <w:jc w:val="center"/>
            </w:pPr>
          </w:p>
        </w:tc>
        <w:tc>
          <w:tcPr>
            <w:tcW w:w="494" w:type="dxa"/>
            <w:shd w:val="clear" w:color="auto" w:fill="BFBFBF" w:themeFill="background1" w:themeFillShade="BF"/>
            <w:vAlign w:val="center"/>
          </w:tcPr>
          <w:p w14:paraId="2704FFFF" w14:textId="77777777" w:rsidR="00853C59" w:rsidRDefault="00853C59" w:rsidP="005C7CAD">
            <w:pPr>
              <w:jc w:val="center"/>
            </w:pPr>
          </w:p>
        </w:tc>
        <w:tc>
          <w:tcPr>
            <w:tcW w:w="494" w:type="dxa"/>
            <w:shd w:val="clear" w:color="auto" w:fill="FFFFFF" w:themeFill="background1"/>
            <w:vAlign w:val="center"/>
          </w:tcPr>
          <w:p w14:paraId="05DDB0DB" w14:textId="77777777" w:rsidR="00853C59" w:rsidRDefault="00853C59" w:rsidP="005C7CAD">
            <w:pPr>
              <w:jc w:val="center"/>
            </w:pPr>
          </w:p>
        </w:tc>
        <w:tc>
          <w:tcPr>
            <w:tcW w:w="494" w:type="dxa"/>
            <w:vAlign w:val="center"/>
          </w:tcPr>
          <w:p w14:paraId="24D68585" w14:textId="77777777" w:rsidR="00853C59" w:rsidRDefault="00853C59" w:rsidP="005C7CAD">
            <w:pPr>
              <w:jc w:val="center"/>
            </w:pPr>
          </w:p>
        </w:tc>
        <w:tc>
          <w:tcPr>
            <w:tcW w:w="494" w:type="dxa"/>
            <w:vAlign w:val="center"/>
          </w:tcPr>
          <w:p w14:paraId="54CD0F7D" w14:textId="77777777" w:rsidR="00853C59" w:rsidRDefault="00853C59" w:rsidP="005C7CAD">
            <w:pPr>
              <w:jc w:val="center"/>
            </w:pPr>
          </w:p>
        </w:tc>
        <w:tc>
          <w:tcPr>
            <w:tcW w:w="494" w:type="dxa"/>
            <w:vAlign w:val="center"/>
          </w:tcPr>
          <w:p w14:paraId="59D815E3" w14:textId="77777777" w:rsidR="00853C59" w:rsidRDefault="00853C59" w:rsidP="005C7CAD">
            <w:pPr>
              <w:jc w:val="center"/>
            </w:pPr>
          </w:p>
        </w:tc>
      </w:tr>
      <w:tr w:rsidR="00853C59" w14:paraId="4145BAFA" w14:textId="77777777" w:rsidTr="00853C59">
        <w:tc>
          <w:tcPr>
            <w:tcW w:w="2014" w:type="dxa"/>
            <w:vMerge/>
            <w:vAlign w:val="center"/>
          </w:tcPr>
          <w:p w14:paraId="2C598F3A" w14:textId="77777777" w:rsidR="00853C59" w:rsidRDefault="00853C59" w:rsidP="007342BA"/>
        </w:tc>
        <w:tc>
          <w:tcPr>
            <w:tcW w:w="2039" w:type="dxa"/>
            <w:vAlign w:val="center"/>
          </w:tcPr>
          <w:p w14:paraId="02D869C2" w14:textId="77777777" w:rsidR="00853C59" w:rsidRDefault="00853C59" w:rsidP="007342BA">
            <w:r>
              <w:t>Verification and approval</w:t>
            </w:r>
          </w:p>
        </w:tc>
        <w:tc>
          <w:tcPr>
            <w:tcW w:w="1506" w:type="dxa"/>
            <w:vAlign w:val="center"/>
          </w:tcPr>
          <w:p w14:paraId="435DE81B" w14:textId="77777777" w:rsidR="00853C59" w:rsidRDefault="00BD0DCC" w:rsidP="007342BA">
            <w:r>
              <w:t>MMDE</w:t>
            </w:r>
          </w:p>
        </w:tc>
        <w:tc>
          <w:tcPr>
            <w:tcW w:w="494" w:type="dxa"/>
            <w:vAlign w:val="center"/>
          </w:tcPr>
          <w:p w14:paraId="049E293C" w14:textId="77777777" w:rsidR="00853C59" w:rsidRDefault="00853C59" w:rsidP="005C7CAD">
            <w:pPr>
              <w:jc w:val="center"/>
            </w:pPr>
          </w:p>
        </w:tc>
        <w:tc>
          <w:tcPr>
            <w:tcW w:w="494" w:type="dxa"/>
            <w:vAlign w:val="center"/>
          </w:tcPr>
          <w:p w14:paraId="42A0899C" w14:textId="77777777" w:rsidR="00853C59" w:rsidRDefault="00853C59" w:rsidP="005C7CAD">
            <w:pPr>
              <w:jc w:val="center"/>
            </w:pPr>
          </w:p>
        </w:tc>
        <w:tc>
          <w:tcPr>
            <w:tcW w:w="494" w:type="dxa"/>
            <w:shd w:val="clear" w:color="auto" w:fill="BFBFBF" w:themeFill="background1" w:themeFillShade="BF"/>
            <w:vAlign w:val="center"/>
          </w:tcPr>
          <w:p w14:paraId="23CC02F6" w14:textId="77777777" w:rsidR="00853C59" w:rsidRDefault="00853C59" w:rsidP="005C7CAD">
            <w:pPr>
              <w:jc w:val="center"/>
            </w:pPr>
          </w:p>
        </w:tc>
        <w:tc>
          <w:tcPr>
            <w:tcW w:w="494" w:type="dxa"/>
            <w:vAlign w:val="center"/>
          </w:tcPr>
          <w:p w14:paraId="649A5050" w14:textId="77777777" w:rsidR="00853C59" w:rsidRDefault="00853C59" w:rsidP="005C7CAD">
            <w:pPr>
              <w:jc w:val="center"/>
            </w:pPr>
          </w:p>
        </w:tc>
        <w:tc>
          <w:tcPr>
            <w:tcW w:w="494" w:type="dxa"/>
            <w:vAlign w:val="center"/>
          </w:tcPr>
          <w:p w14:paraId="0F07E8B4" w14:textId="77777777" w:rsidR="00853C59" w:rsidRDefault="00853C59" w:rsidP="005C7CAD">
            <w:pPr>
              <w:jc w:val="center"/>
            </w:pPr>
          </w:p>
        </w:tc>
        <w:tc>
          <w:tcPr>
            <w:tcW w:w="494" w:type="dxa"/>
            <w:vAlign w:val="center"/>
          </w:tcPr>
          <w:p w14:paraId="3D76FA7D" w14:textId="77777777" w:rsidR="00853C59" w:rsidRDefault="00853C59" w:rsidP="005C7CAD">
            <w:pPr>
              <w:jc w:val="center"/>
            </w:pPr>
          </w:p>
        </w:tc>
        <w:tc>
          <w:tcPr>
            <w:tcW w:w="494" w:type="dxa"/>
            <w:vAlign w:val="center"/>
          </w:tcPr>
          <w:p w14:paraId="187450A0" w14:textId="77777777" w:rsidR="00853C59" w:rsidRDefault="00853C59" w:rsidP="005C7CAD">
            <w:pPr>
              <w:jc w:val="center"/>
            </w:pPr>
          </w:p>
        </w:tc>
      </w:tr>
      <w:tr w:rsidR="00853C59" w14:paraId="7C831DB5" w14:textId="77777777" w:rsidTr="00853C59">
        <w:tc>
          <w:tcPr>
            <w:tcW w:w="2014" w:type="dxa"/>
            <w:vMerge w:val="restart"/>
            <w:vAlign w:val="center"/>
          </w:tcPr>
          <w:p w14:paraId="2B22F325" w14:textId="77777777" w:rsidR="00853C59" w:rsidRDefault="00853C59" w:rsidP="007342BA">
            <w:r>
              <w:t>Establishment of carbon market</w:t>
            </w:r>
          </w:p>
        </w:tc>
        <w:tc>
          <w:tcPr>
            <w:tcW w:w="2039" w:type="dxa"/>
            <w:vAlign w:val="center"/>
          </w:tcPr>
          <w:p w14:paraId="76D6A29D" w14:textId="77777777" w:rsidR="00853C59" w:rsidRDefault="00853C59" w:rsidP="007342BA">
            <w:r>
              <w:t>Setting up the institutional mechanism</w:t>
            </w:r>
          </w:p>
        </w:tc>
        <w:tc>
          <w:tcPr>
            <w:tcW w:w="1506" w:type="dxa"/>
            <w:vAlign w:val="center"/>
          </w:tcPr>
          <w:p w14:paraId="23294883" w14:textId="77777777" w:rsidR="00853C59" w:rsidRDefault="00BD0DCC" w:rsidP="007342BA">
            <w:r>
              <w:t>MMDE</w:t>
            </w:r>
          </w:p>
        </w:tc>
        <w:tc>
          <w:tcPr>
            <w:tcW w:w="494" w:type="dxa"/>
            <w:vAlign w:val="center"/>
          </w:tcPr>
          <w:p w14:paraId="01CF9D97" w14:textId="77777777" w:rsidR="00853C59" w:rsidRDefault="00853C59" w:rsidP="005C7CAD">
            <w:pPr>
              <w:jc w:val="center"/>
            </w:pPr>
          </w:p>
        </w:tc>
        <w:tc>
          <w:tcPr>
            <w:tcW w:w="494" w:type="dxa"/>
            <w:vAlign w:val="center"/>
          </w:tcPr>
          <w:p w14:paraId="14DD4EB9" w14:textId="77777777" w:rsidR="00853C59" w:rsidRDefault="00853C59" w:rsidP="005C7CAD">
            <w:pPr>
              <w:jc w:val="center"/>
            </w:pPr>
          </w:p>
        </w:tc>
        <w:tc>
          <w:tcPr>
            <w:tcW w:w="494" w:type="dxa"/>
            <w:shd w:val="clear" w:color="auto" w:fill="BFBFBF" w:themeFill="background1" w:themeFillShade="BF"/>
            <w:vAlign w:val="center"/>
          </w:tcPr>
          <w:p w14:paraId="0921D0C6" w14:textId="77777777" w:rsidR="00853C59" w:rsidRDefault="00853C59" w:rsidP="005C7CAD">
            <w:pPr>
              <w:jc w:val="center"/>
            </w:pPr>
          </w:p>
        </w:tc>
        <w:tc>
          <w:tcPr>
            <w:tcW w:w="494" w:type="dxa"/>
            <w:shd w:val="clear" w:color="auto" w:fill="BFBFBF" w:themeFill="background1" w:themeFillShade="BF"/>
            <w:vAlign w:val="center"/>
          </w:tcPr>
          <w:p w14:paraId="715303EF" w14:textId="77777777" w:rsidR="00853C59" w:rsidRDefault="00853C59" w:rsidP="005C7CAD">
            <w:pPr>
              <w:jc w:val="center"/>
            </w:pPr>
          </w:p>
        </w:tc>
        <w:tc>
          <w:tcPr>
            <w:tcW w:w="494" w:type="dxa"/>
            <w:vAlign w:val="center"/>
          </w:tcPr>
          <w:p w14:paraId="18CAD705" w14:textId="77777777" w:rsidR="00853C59" w:rsidRDefault="00853C59" w:rsidP="005C7CAD">
            <w:pPr>
              <w:jc w:val="center"/>
            </w:pPr>
          </w:p>
        </w:tc>
        <w:tc>
          <w:tcPr>
            <w:tcW w:w="494" w:type="dxa"/>
            <w:vAlign w:val="center"/>
          </w:tcPr>
          <w:p w14:paraId="38A7A393" w14:textId="77777777" w:rsidR="00853C59" w:rsidRDefault="00853C59" w:rsidP="005C7CAD">
            <w:pPr>
              <w:jc w:val="center"/>
            </w:pPr>
          </w:p>
        </w:tc>
        <w:tc>
          <w:tcPr>
            <w:tcW w:w="494" w:type="dxa"/>
            <w:vAlign w:val="center"/>
          </w:tcPr>
          <w:p w14:paraId="123B0031" w14:textId="77777777" w:rsidR="00853C59" w:rsidRDefault="00853C59" w:rsidP="005C7CAD">
            <w:pPr>
              <w:jc w:val="center"/>
            </w:pPr>
          </w:p>
        </w:tc>
      </w:tr>
      <w:tr w:rsidR="00853C59" w14:paraId="60E9ADD0" w14:textId="77777777" w:rsidTr="00853C59">
        <w:tc>
          <w:tcPr>
            <w:tcW w:w="2014" w:type="dxa"/>
            <w:vMerge/>
            <w:vAlign w:val="center"/>
          </w:tcPr>
          <w:p w14:paraId="4D1794A6" w14:textId="77777777" w:rsidR="00853C59" w:rsidRDefault="00853C59" w:rsidP="00853C59"/>
        </w:tc>
        <w:tc>
          <w:tcPr>
            <w:tcW w:w="2039" w:type="dxa"/>
          </w:tcPr>
          <w:p w14:paraId="1CAE93BA" w14:textId="77777777" w:rsidR="00853C59" w:rsidRPr="00E940BC" w:rsidRDefault="00853C59" w:rsidP="00853C59">
            <w:r w:rsidRPr="00E940BC">
              <w:t>Listing out the biodiversity conservation projects</w:t>
            </w:r>
          </w:p>
        </w:tc>
        <w:tc>
          <w:tcPr>
            <w:tcW w:w="1506" w:type="dxa"/>
            <w:vAlign w:val="center"/>
          </w:tcPr>
          <w:p w14:paraId="7065FDDD" w14:textId="77777777" w:rsidR="00853C59" w:rsidRDefault="00BD0DCC" w:rsidP="00853C59">
            <w:r>
              <w:t>SC &amp; TC</w:t>
            </w:r>
          </w:p>
        </w:tc>
        <w:tc>
          <w:tcPr>
            <w:tcW w:w="494" w:type="dxa"/>
            <w:vAlign w:val="center"/>
          </w:tcPr>
          <w:p w14:paraId="13C90970" w14:textId="77777777" w:rsidR="00853C59" w:rsidRDefault="00853C59" w:rsidP="00853C59">
            <w:pPr>
              <w:jc w:val="center"/>
            </w:pPr>
          </w:p>
        </w:tc>
        <w:tc>
          <w:tcPr>
            <w:tcW w:w="494" w:type="dxa"/>
            <w:vAlign w:val="center"/>
          </w:tcPr>
          <w:p w14:paraId="227BD4CC" w14:textId="77777777" w:rsidR="00853C59" w:rsidRDefault="00853C59" w:rsidP="00853C59">
            <w:pPr>
              <w:jc w:val="center"/>
            </w:pPr>
          </w:p>
        </w:tc>
        <w:tc>
          <w:tcPr>
            <w:tcW w:w="494" w:type="dxa"/>
            <w:vAlign w:val="center"/>
          </w:tcPr>
          <w:p w14:paraId="039F580D" w14:textId="77777777" w:rsidR="00853C59" w:rsidRDefault="00853C59" w:rsidP="00853C59">
            <w:pPr>
              <w:jc w:val="center"/>
            </w:pPr>
          </w:p>
        </w:tc>
        <w:tc>
          <w:tcPr>
            <w:tcW w:w="494" w:type="dxa"/>
            <w:shd w:val="clear" w:color="auto" w:fill="BFBFBF" w:themeFill="background1" w:themeFillShade="BF"/>
            <w:vAlign w:val="center"/>
          </w:tcPr>
          <w:p w14:paraId="13019835" w14:textId="77777777" w:rsidR="00853C59" w:rsidRDefault="00853C59" w:rsidP="00853C59">
            <w:pPr>
              <w:jc w:val="center"/>
            </w:pPr>
          </w:p>
        </w:tc>
        <w:tc>
          <w:tcPr>
            <w:tcW w:w="494" w:type="dxa"/>
            <w:vAlign w:val="center"/>
          </w:tcPr>
          <w:p w14:paraId="3F38E68C" w14:textId="77777777" w:rsidR="00853C59" w:rsidRDefault="00853C59" w:rsidP="00853C59">
            <w:pPr>
              <w:jc w:val="center"/>
            </w:pPr>
          </w:p>
        </w:tc>
        <w:tc>
          <w:tcPr>
            <w:tcW w:w="494" w:type="dxa"/>
            <w:vAlign w:val="center"/>
          </w:tcPr>
          <w:p w14:paraId="04F152AB" w14:textId="77777777" w:rsidR="00853C59" w:rsidRDefault="00853C59" w:rsidP="00853C59">
            <w:pPr>
              <w:jc w:val="center"/>
            </w:pPr>
          </w:p>
        </w:tc>
        <w:tc>
          <w:tcPr>
            <w:tcW w:w="494" w:type="dxa"/>
            <w:vAlign w:val="center"/>
          </w:tcPr>
          <w:p w14:paraId="38FD1A60" w14:textId="77777777" w:rsidR="00853C59" w:rsidRDefault="00853C59" w:rsidP="00853C59">
            <w:pPr>
              <w:jc w:val="center"/>
            </w:pPr>
          </w:p>
        </w:tc>
      </w:tr>
      <w:tr w:rsidR="00853C59" w14:paraId="6EC6FD87" w14:textId="77777777" w:rsidTr="00853C59">
        <w:tc>
          <w:tcPr>
            <w:tcW w:w="2014" w:type="dxa"/>
            <w:vMerge/>
            <w:vAlign w:val="center"/>
          </w:tcPr>
          <w:p w14:paraId="7FBDF5B3" w14:textId="77777777" w:rsidR="00853C59" w:rsidRDefault="00853C59" w:rsidP="00853C59"/>
        </w:tc>
        <w:tc>
          <w:tcPr>
            <w:tcW w:w="2039" w:type="dxa"/>
          </w:tcPr>
          <w:p w14:paraId="3587DEDF" w14:textId="77777777" w:rsidR="00853C59" w:rsidRDefault="00853C59" w:rsidP="00853C59">
            <w:r w:rsidRPr="00E940BC">
              <w:t>Setting up the database and partner-communication system</w:t>
            </w:r>
          </w:p>
        </w:tc>
        <w:tc>
          <w:tcPr>
            <w:tcW w:w="1506" w:type="dxa"/>
            <w:vAlign w:val="center"/>
          </w:tcPr>
          <w:p w14:paraId="387DDAD1" w14:textId="77777777" w:rsidR="00853C59" w:rsidRDefault="00BD0DCC" w:rsidP="00853C59">
            <w:r>
              <w:t>SC &amp; TC</w:t>
            </w:r>
          </w:p>
        </w:tc>
        <w:tc>
          <w:tcPr>
            <w:tcW w:w="494" w:type="dxa"/>
            <w:vAlign w:val="center"/>
          </w:tcPr>
          <w:p w14:paraId="4F405A8B" w14:textId="77777777" w:rsidR="00853C59" w:rsidRDefault="00853C59" w:rsidP="00853C59">
            <w:pPr>
              <w:jc w:val="center"/>
            </w:pPr>
          </w:p>
        </w:tc>
        <w:tc>
          <w:tcPr>
            <w:tcW w:w="494" w:type="dxa"/>
            <w:vAlign w:val="center"/>
          </w:tcPr>
          <w:p w14:paraId="72DE5F6F" w14:textId="77777777" w:rsidR="00853C59" w:rsidRDefault="00853C59" w:rsidP="00853C59">
            <w:pPr>
              <w:jc w:val="center"/>
            </w:pPr>
          </w:p>
        </w:tc>
        <w:tc>
          <w:tcPr>
            <w:tcW w:w="494" w:type="dxa"/>
            <w:vAlign w:val="center"/>
          </w:tcPr>
          <w:p w14:paraId="58001677" w14:textId="77777777" w:rsidR="00853C59" w:rsidRDefault="00853C59" w:rsidP="00853C59">
            <w:pPr>
              <w:jc w:val="center"/>
            </w:pPr>
          </w:p>
        </w:tc>
        <w:tc>
          <w:tcPr>
            <w:tcW w:w="494" w:type="dxa"/>
            <w:shd w:val="clear" w:color="auto" w:fill="BFBFBF" w:themeFill="background1" w:themeFillShade="BF"/>
            <w:vAlign w:val="center"/>
          </w:tcPr>
          <w:p w14:paraId="166AB7DD" w14:textId="77777777" w:rsidR="00853C59" w:rsidRDefault="00853C59" w:rsidP="00853C59">
            <w:pPr>
              <w:jc w:val="center"/>
            </w:pPr>
          </w:p>
        </w:tc>
        <w:tc>
          <w:tcPr>
            <w:tcW w:w="494" w:type="dxa"/>
            <w:shd w:val="clear" w:color="auto" w:fill="BFBFBF" w:themeFill="background1" w:themeFillShade="BF"/>
            <w:vAlign w:val="center"/>
          </w:tcPr>
          <w:p w14:paraId="171C4A97" w14:textId="77777777" w:rsidR="00853C59" w:rsidRDefault="00853C59" w:rsidP="00853C59">
            <w:pPr>
              <w:jc w:val="center"/>
            </w:pPr>
          </w:p>
        </w:tc>
        <w:tc>
          <w:tcPr>
            <w:tcW w:w="494" w:type="dxa"/>
            <w:vAlign w:val="center"/>
          </w:tcPr>
          <w:p w14:paraId="33664A43" w14:textId="77777777" w:rsidR="00853C59" w:rsidRDefault="00853C59" w:rsidP="00853C59">
            <w:pPr>
              <w:jc w:val="center"/>
            </w:pPr>
          </w:p>
        </w:tc>
        <w:tc>
          <w:tcPr>
            <w:tcW w:w="494" w:type="dxa"/>
            <w:vAlign w:val="center"/>
          </w:tcPr>
          <w:p w14:paraId="763BCA26" w14:textId="77777777" w:rsidR="00853C59" w:rsidRDefault="00853C59" w:rsidP="00853C59">
            <w:pPr>
              <w:jc w:val="center"/>
            </w:pPr>
          </w:p>
        </w:tc>
      </w:tr>
      <w:tr w:rsidR="00853C59" w14:paraId="677A22F6" w14:textId="77777777" w:rsidTr="00853C59">
        <w:tc>
          <w:tcPr>
            <w:tcW w:w="2014" w:type="dxa"/>
            <w:vMerge/>
            <w:vAlign w:val="center"/>
          </w:tcPr>
          <w:p w14:paraId="62F90945" w14:textId="77777777" w:rsidR="00853C59" w:rsidRDefault="00853C59" w:rsidP="007342BA"/>
        </w:tc>
        <w:tc>
          <w:tcPr>
            <w:tcW w:w="2039" w:type="dxa"/>
            <w:vAlign w:val="center"/>
          </w:tcPr>
          <w:p w14:paraId="06E58532" w14:textId="77777777" w:rsidR="00853C59" w:rsidRDefault="00853C59" w:rsidP="007342BA">
            <w:r>
              <w:t>Launching the carbon market mechanism</w:t>
            </w:r>
          </w:p>
        </w:tc>
        <w:tc>
          <w:tcPr>
            <w:tcW w:w="1506" w:type="dxa"/>
            <w:vAlign w:val="center"/>
          </w:tcPr>
          <w:p w14:paraId="2E337C92" w14:textId="77777777" w:rsidR="00853C59" w:rsidRDefault="00BD0DCC" w:rsidP="007342BA">
            <w:r>
              <w:t>MMDE</w:t>
            </w:r>
          </w:p>
        </w:tc>
        <w:tc>
          <w:tcPr>
            <w:tcW w:w="494" w:type="dxa"/>
            <w:vAlign w:val="center"/>
          </w:tcPr>
          <w:p w14:paraId="083EC9BB" w14:textId="77777777" w:rsidR="00853C59" w:rsidRDefault="00853C59" w:rsidP="005C7CAD">
            <w:pPr>
              <w:jc w:val="center"/>
            </w:pPr>
          </w:p>
        </w:tc>
        <w:tc>
          <w:tcPr>
            <w:tcW w:w="494" w:type="dxa"/>
            <w:vAlign w:val="center"/>
          </w:tcPr>
          <w:p w14:paraId="6BCDB27E" w14:textId="77777777" w:rsidR="00853C59" w:rsidRDefault="00853C59" w:rsidP="005C7CAD">
            <w:pPr>
              <w:jc w:val="center"/>
            </w:pPr>
          </w:p>
        </w:tc>
        <w:tc>
          <w:tcPr>
            <w:tcW w:w="494" w:type="dxa"/>
            <w:vAlign w:val="center"/>
          </w:tcPr>
          <w:p w14:paraId="4D458861" w14:textId="77777777" w:rsidR="00853C59" w:rsidRDefault="00853C59" w:rsidP="005C7CAD">
            <w:pPr>
              <w:jc w:val="center"/>
            </w:pPr>
          </w:p>
        </w:tc>
        <w:tc>
          <w:tcPr>
            <w:tcW w:w="494" w:type="dxa"/>
            <w:vAlign w:val="center"/>
          </w:tcPr>
          <w:p w14:paraId="7F8DCDC5" w14:textId="77777777" w:rsidR="00853C59" w:rsidRDefault="00853C59" w:rsidP="005C7CAD">
            <w:pPr>
              <w:jc w:val="center"/>
            </w:pPr>
          </w:p>
        </w:tc>
        <w:tc>
          <w:tcPr>
            <w:tcW w:w="494" w:type="dxa"/>
            <w:shd w:val="clear" w:color="auto" w:fill="BFBFBF" w:themeFill="background1" w:themeFillShade="BF"/>
            <w:vAlign w:val="center"/>
          </w:tcPr>
          <w:p w14:paraId="7E1C0B47" w14:textId="77777777" w:rsidR="00853C59" w:rsidRDefault="00853C59" w:rsidP="005C7CAD">
            <w:pPr>
              <w:jc w:val="center"/>
            </w:pPr>
          </w:p>
        </w:tc>
        <w:tc>
          <w:tcPr>
            <w:tcW w:w="494" w:type="dxa"/>
            <w:vAlign w:val="center"/>
          </w:tcPr>
          <w:p w14:paraId="14E9A7CB" w14:textId="77777777" w:rsidR="00853C59" w:rsidRDefault="00853C59" w:rsidP="005C7CAD">
            <w:pPr>
              <w:jc w:val="center"/>
            </w:pPr>
          </w:p>
        </w:tc>
        <w:tc>
          <w:tcPr>
            <w:tcW w:w="494" w:type="dxa"/>
            <w:vAlign w:val="center"/>
          </w:tcPr>
          <w:p w14:paraId="62D6DA1B" w14:textId="77777777" w:rsidR="00853C59" w:rsidRDefault="00853C59" w:rsidP="005C7CAD">
            <w:pPr>
              <w:jc w:val="center"/>
            </w:pPr>
          </w:p>
        </w:tc>
      </w:tr>
      <w:tr w:rsidR="00630BDE" w14:paraId="7D13AA76" w14:textId="77777777" w:rsidTr="00853C59">
        <w:tc>
          <w:tcPr>
            <w:tcW w:w="2014" w:type="dxa"/>
            <w:vAlign w:val="center"/>
          </w:tcPr>
          <w:p w14:paraId="539C1973" w14:textId="77777777" w:rsidR="00630BDE" w:rsidRDefault="00853C59" w:rsidP="007342BA">
            <w:r>
              <w:t xml:space="preserve">Monitoring and evaluation </w:t>
            </w:r>
          </w:p>
        </w:tc>
        <w:tc>
          <w:tcPr>
            <w:tcW w:w="2039" w:type="dxa"/>
            <w:vAlign w:val="center"/>
          </w:tcPr>
          <w:p w14:paraId="268921B4" w14:textId="77777777" w:rsidR="00630BDE" w:rsidRDefault="00853C59" w:rsidP="007342BA">
            <w:r>
              <w:t>Conducting monitoring and evaluation activities</w:t>
            </w:r>
          </w:p>
        </w:tc>
        <w:tc>
          <w:tcPr>
            <w:tcW w:w="1506" w:type="dxa"/>
            <w:vAlign w:val="center"/>
          </w:tcPr>
          <w:p w14:paraId="75DEB075" w14:textId="77777777" w:rsidR="00630BDE" w:rsidRDefault="00BD0DCC" w:rsidP="007342BA">
            <w:r>
              <w:t>SC &amp; TC</w:t>
            </w:r>
          </w:p>
        </w:tc>
        <w:tc>
          <w:tcPr>
            <w:tcW w:w="494" w:type="dxa"/>
            <w:vAlign w:val="center"/>
          </w:tcPr>
          <w:p w14:paraId="7B246FF0" w14:textId="77777777" w:rsidR="00630BDE" w:rsidRDefault="00630BDE" w:rsidP="005C7CAD">
            <w:pPr>
              <w:jc w:val="center"/>
            </w:pPr>
          </w:p>
        </w:tc>
        <w:tc>
          <w:tcPr>
            <w:tcW w:w="494" w:type="dxa"/>
            <w:vAlign w:val="center"/>
          </w:tcPr>
          <w:p w14:paraId="3FE738B5" w14:textId="77777777" w:rsidR="00630BDE" w:rsidRDefault="00630BDE" w:rsidP="005C7CAD">
            <w:pPr>
              <w:jc w:val="center"/>
            </w:pPr>
          </w:p>
        </w:tc>
        <w:tc>
          <w:tcPr>
            <w:tcW w:w="494" w:type="dxa"/>
            <w:vAlign w:val="center"/>
          </w:tcPr>
          <w:p w14:paraId="24774E99" w14:textId="77777777" w:rsidR="00630BDE" w:rsidRDefault="00630BDE" w:rsidP="005C7CAD">
            <w:pPr>
              <w:jc w:val="center"/>
            </w:pPr>
          </w:p>
        </w:tc>
        <w:tc>
          <w:tcPr>
            <w:tcW w:w="494" w:type="dxa"/>
            <w:vAlign w:val="center"/>
          </w:tcPr>
          <w:p w14:paraId="100F0B11" w14:textId="77777777" w:rsidR="00630BDE" w:rsidRDefault="00630BDE" w:rsidP="005C7CAD">
            <w:pPr>
              <w:jc w:val="center"/>
            </w:pPr>
          </w:p>
        </w:tc>
        <w:tc>
          <w:tcPr>
            <w:tcW w:w="494" w:type="dxa"/>
            <w:shd w:val="clear" w:color="auto" w:fill="BFBFBF" w:themeFill="background1" w:themeFillShade="BF"/>
            <w:vAlign w:val="center"/>
          </w:tcPr>
          <w:p w14:paraId="2C284998" w14:textId="77777777" w:rsidR="00630BDE" w:rsidRDefault="00630BDE" w:rsidP="005C7CAD">
            <w:pPr>
              <w:jc w:val="center"/>
            </w:pPr>
          </w:p>
        </w:tc>
        <w:tc>
          <w:tcPr>
            <w:tcW w:w="494" w:type="dxa"/>
            <w:shd w:val="clear" w:color="auto" w:fill="BFBFBF" w:themeFill="background1" w:themeFillShade="BF"/>
            <w:vAlign w:val="center"/>
          </w:tcPr>
          <w:p w14:paraId="209C0B76" w14:textId="77777777" w:rsidR="00630BDE" w:rsidRDefault="00630BDE" w:rsidP="005C7CAD">
            <w:pPr>
              <w:jc w:val="center"/>
            </w:pPr>
          </w:p>
        </w:tc>
        <w:tc>
          <w:tcPr>
            <w:tcW w:w="494" w:type="dxa"/>
            <w:shd w:val="clear" w:color="auto" w:fill="FFFFFF" w:themeFill="background1"/>
            <w:vAlign w:val="center"/>
          </w:tcPr>
          <w:p w14:paraId="1D706D09" w14:textId="77777777" w:rsidR="00630BDE" w:rsidRDefault="00630BDE" w:rsidP="005C7CAD">
            <w:pPr>
              <w:jc w:val="center"/>
            </w:pPr>
          </w:p>
        </w:tc>
      </w:tr>
      <w:tr w:rsidR="00853C59" w14:paraId="01444D0E" w14:textId="77777777" w:rsidTr="00853C59">
        <w:tc>
          <w:tcPr>
            <w:tcW w:w="2014" w:type="dxa"/>
            <w:vAlign w:val="center"/>
          </w:tcPr>
          <w:p w14:paraId="767F79E8" w14:textId="77777777" w:rsidR="00853C59" w:rsidRDefault="00853C59" w:rsidP="007342BA">
            <w:r>
              <w:t>Budget</w:t>
            </w:r>
          </w:p>
        </w:tc>
        <w:tc>
          <w:tcPr>
            <w:tcW w:w="7003" w:type="dxa"/>
            <w:gridSpan w:val="9"/>
            <w:vAlign w:val="center"/>
          </w:tcPr>
          <w:p w14:paraId="1374C207" w14:textId="77777777" w:rsidR="00853C59" w:rsidRDefault="00BD0DCC" w:rsidP="00853C59">
            <w:r>
              <w:t xml:space="preserve">US$ </w:t>
            </w:r>
            <w:r w:rsidR="00BB6A8B">
              <w:t>120,000</w:t>
            </w:r>
          </w:p>
        </w:tc>
      </w:tr>
      <w:tr w:rsidR="00853C59" w14:paraId="7DACE4B3" w14:textId="77777777" w:rsidTr="00853C59">
        <w:tc>
          <w:tcPr>
            <w:tcW w:w="2014" w:type="dxa"/>
            <w:vAlign w:val="center"/>
          </w:tcPr>
          <w:p w14:paraId="344CC2A4" w14:textId="77777777" w:rsidR="00853C59" w:rsidRDefault="00853C59" w:rsidP="007342BA">
            <w:r>
              <w:t>Financial result</w:t>
            </w:r>
          </w:p>
        </w:tc>
        <w:tc>
          <w:tcPr>
            <w:tcW w:w="7003" w:type="dxa"/>
            <w:gridSpan w:val="9"/>
            <w:vAlign w:val="center"/>
          </w:tcPr>
          <w:p w14:paraId="7FD3DC07" w14:textId="77777777" w:rsidR="00BD0DCC" w:rsidRDefault="00BD0DCC" w:rsidP="00853C59">
            <w:r>
              <w:t>US$ 150,000 a year from both local and international companies at the average rate of US$ 15.00 per carbon credit emitted.</w:t>
            </w:r>
          </w:p>
        </w:tc>
      </w:tr>
    </w:tbl>
    <w:p w14:paraId="5850BF79" w14:textId="77777777" w:rsidR="00A3580A" w:rsidRDefault="00A3580A" w:rsidP="00BB5D98">
      <w:pPr>
        <w:jc w:val="both"/>
      </w:pPr>
    </w:p>
    <w:p w14:paraId="2CCE5F3F" w14:textId="38D7644A" w:rsidR="00E427F9" w:rsidRPr="00A3580A" w:rsidRDefault="00E427F9" w:rsidP="008D23E4">
      <w:pPr>
        <w:pStyle w:val="Heading4"/>
      </w:pPr>
      <w:r w:rsidRPr="00A3580A">
        <w:t>1</w:t>
      </w:r>
      <w:r w:rsidR="00A3580A" w:rsidRPr="00A3580A">
        <w:t>1</w:t>
      </w:r>
      <w:r w:rsidRPr="00A3580A">
        <w:t xml:space="preserve">. </w:t>
      </w:r>
      <w:r w:rsidR="00CD6018">
        <w:t>Advocacy</w:t>
      </w:r>
      <w:r w:rsidR="007D5C86" w:rsidRPr="00A3580A">
        <w:t xml:space="preserve"> for public budget allocations</w:t>
      </w:r>
      <w:r w:rsidR="00A3679E" w:rsidRPr="00A3580A">
        <w:t xml:space="preserve"> for </w:t>
      </w:r>
      <w:r w:rsidR="00DD383D" w:rsidRPr="00A3580A">
        <w:t>increased spending o</w:t>
      </w:r>
      <w:r w:rsidR="00A3679E" w:rsidRPr="00A3580A">
        <w:t>n biodiversity</w:t>
      </w:r>
    </w:p>
    <w:p w14:paraId="0428C902" w14:textId="21CEF9EC" w:rsidR="00E427F9" w:rsidRDefault="00A3679E" w:rsidP="00BB5D98">
      <w:pPr>
        <w:jc w:val="both"/>
      </w:pPr>
      <w:r>
        <w:t xml:space="preserve">The finance solution is for </w:t>
      </w:r>
      <w:r w:rsidR="00DD383D">
        <w:t xml:space="preserve">an </w:t>
      </w:r>
      <w:r>
        <w:t xml:space="preserve">implementation </w:t>
      </w:r>
      <w:proofErr w:type="spellStart"/>
      <w:r w:rsidR="00DD383D">
        <w:t>programme</w:t>
      </w:r>
      <w:proofErr w:type="spellEnd"/>
      <w:r w:rsidR="00DD383D">
        <w:t xml:space="preserve"> </w:t>
      </w:r>
      <w:r w:rsidR="00FD5401">
        <w:t>resulting in a</w:t>
      </w:r>
      <w:r w:rsidR="00DF72F5">
        <w:t xml:space="preserve">n increase in the </w:t>
      </w:r>
      <w:r w:rsidR="00FD5401">
        <w:t xml:space="preserve">share of </w:t>
      </w:r>
      <w:r>
        <w:t xml:space="preserve">government’s budgetary allocation </w:t>
      </w:r>
      <w:r w:rsidR="001A1E06">
        <w:t>to expand</w:t>
      </w:r>
      <w:r w:rsidR="00FD5401">
        <w:t xml:space="preserve"> </w:t>
      </w:r>
      <w:r w:rsidR="00DD383D">
        <w:t>spending o</w:t>
      </w:r>
      <w:r>
        <w:t>n biodiversity.</w:t>
      </w:r>
    </w:p>
    <w:p w14:paraId="2BB41264" w14:textId="1DC4E4A4" w:rsidR="00FD5401" w:rsidRDefault="00FD5401" w:rsidP="00BB5D98">
      <w:pPr>
        <w:jc w:val="both"/>
      </w:pPr>
      <w:r>
        <w:t>Objective</w:t>
      </w:r>
    </w:p>
    <w:p w14:paraId="363256CD" w14:textId="52C3ED4D" w:rsidR="00FD5401" w:rsidRDefault="00FD5401" w:rsidP="00BB5D98">
      <w:pPr>
        <w:jc w:val="both"/>
      </w:pPr>
      <w:r>
        <w:t>To increase government’s annual budgetary allocation for spending on biodiversity.</w:t>
      </w:r>
    </w:p>
    <w:p w14:paraId="4438D375" w14:textId="314D1C8B" w:rsidR="00A3679E" w:rsidRDefault="00A3679E" w:rsidP="00BB5D98">
      <w:pPr>
        <w:jc w:val="both"/>
      </w:pPr>
      <w:r>
        <w:t>Description</w:t>
      </w:r>
    </w:p>
    <w:p w14:paraId="5315194D" w14:textId="764CE127" w:rsidR="00A3679E" w:rsidRDefault="00DF72F5" w:rsidP="00C41BE9">
      <w:pPr>
        <w:jc w:val="both"/>
      </w:pPr>
      <w:r>
        <w:rPr>
          <w:noProof/>
          <w:lang w:val="en-AU" w:eastAsia="en-AU" w:bidi="si-LK"/>
        </w:rPr>
        <mc:AlternateContent>
          <mc:Choice Requires="wps">
            <w:drawing>
              <wp:anchor distT="45720" distB="45720" distL="114300" distR="114300" simplePos="0" relativeHeight="251667456" behindDoc="0" locked="0" layoutInCell="1" allowOverlap="1" wp14:anchorId="3D71E833" wp14:editId="787A8EE3">
                <wp:simplePos x="0" y="0"/>
                <wp:positionH relativeFrom="column">
                  <wp:posOffset>3495675</wp:posOffset>
                </wp:positionH>
                <wp:positionV relativeFrom="paragraph">
                  <wp:posOffset>168910</wp:posOffset>
                </wp:positionV>
                <wp:extent cx="2360930" cy="4424680"/>
                <wp:effectExtent l="0" t="0" r="1206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24680"/>
                        </a:xfrm>
                        <a:prstGeom prst="rect">
                          <a:avLst/>
                        </a:prstGeom>
                        <a:solidFill>
                          <a:srgbClr val="FFFFFF"/>
                        </a:solidFill>
                        <a:ln w="9525">
                          <a:solidFill>
                            <a:srgbClr val="000000"/>
                          </a:solidFill>
                          <a:miter lim="800000"/>
                          <a:headEnd/>
                          <a:tailEnd/>
                        </a:ln>
                      </wps:spPr>
                      <wps:txbx>
                        <w:txbxContent>
                          <w:p w14:paraId="01A6B373" w14:textId="77777777" w:rsidR="00791098" w:rsidRDefault="00791098" w:rsidP="007914A3">
                            <w:pPr>
                              <w:jc w:val="both"/>
                              <w:rPr>
                                <w:sz w:val="28"/>
                              </w:rPr>
                            </w:pPr>
                          </w:p>
                          <w:p w14:paraId="5384E39D" w14:textId="77777777" w:rsidR="00791098" w:rsidRDefault="00791098" w:rsidP="00A3657A">
                            <w:pPr>
                              <w:spacing w:after="0"/>
                              <w:jc w:val="center"/>
                              <w:rPr>
                                <w:sz w:val="28"/>
                              </w:rPr>
                            </w:pPr>
                            <w:r>
                              <w:rPr>
                                <w:sz w:val="28"/>
                              </w:rPr>
                              <w:t>SRI LANKA’S</w:t>
                            </w:r>
                          </w:p>
                          <w:p w14:paraId="0E1EAAD7" w14:textId="2C1CE49D" w:rsidR="00791098" w:rsidRPr="00BB5A42" w:rsidRDefault="00791098" w:rsidP="00A3657A">
                            <w:pPr>
                              <w:jc w:val="center"/>
                              <w:rPr>
                                <w:sz w:val="28"/>
                              </w:rPr>
                            </w:pPr>
                            <w:r w:rsidRPr="00BB5A42">
                              <w:rPr>
                                <w:sz w:val="28"/>
                              </w:rPr>
                              <w:t>BIODIVERSITY EXPENDITURE</w:t>
                            </w:r>
                          </w:p>
                          <w:p w14:paraId="73375F38" w14:textId="4108D351" w:rsidR="00791098" w:rsidRDefault="00791098" w:rsidP="007914A3">
                            <w:pPr>
                              <w:jc w:val="both"/>
                            </w:pPr>
                            <w:r>
                              <w:t xml:space="preserve">Sri Lanka’s public spending on biodiversity is very low, compared to public spending on health, education and public utilities. Its share of GDP is about one-fifth of the world average. </w:t>
                            </w:r>
                          </w:p>
                          <w:p w14:paraId="7DBC00E7" w14:textId="3506CF1A" w:rsidR="00791098" w:rsidRDefault="00791098" w:rsidP="007914A3">
                            <w:pPr>
                              <w:jc w:val="both"/>
                            </w:pPr>
                            <w:r>
                              <w:t>Spending on biodiversity at sub-national level is insignificant, while information on non-state sector spending is scarce.</w:t>
                            </w:r>
                          </w:p>
                          <w:p w14:paraId="42B6ADC9" w14:textId="5BABEE8D" w:rsidR="00791098" w:rsidRDefault="00791098" w:rsidP="007914A3">
                            <w:pPr>
                              <w:jc w:val="both"/>
                            </w:pPr>
                            <w:r>
                              <w:t>Public spending on biodiversity is scattered among 20 agencies under 5 Ministries. Coordination issues and frequent alterations among and within them have raised concern over efficiency and effectiveness of public spending on biodiversity.</w:t>
                            </w:r>
                          </w:p>
                          <w:p w14:paraId="4F49C233" w14:textId="20DBFD1B" w:rsidR="00791098" w:rsidRPr="007914A3" w:rsidRDefault="00791098" w:rsidP="007914A3">
                            <w:pPr>
                              <w:pStyle w:val="ListParagraph"/>
                              <w:numPr>
                                <w:ilvl w:val="0"/>
                                <w:numId w:val="31"/>
                              </w:numPr>
                              <w:jc w:val="both"/>
                              <w:rPr>
                                <w:sz w:val="18"/>
                              </w:rPr>
                            </w:pPr>
                            <w:r w:rsidRPr="007914A3">
                              <w:rPr>
                                <w:i/>
                                <w:sz w:val="18"/>
                              </w:rPr>
                              <w:t>Biodiversity Expenditure Review</w:t>
                            </w:r>
                            <w:r w:rsidRPr="007914A3">
                              <w:rPr>
                                <w:sz w:val="18"/>
                              </w:rPr>
                              <w:t>, 2018 April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71E833" id="_x0000_s1031" type="#_x0000_t202" style="position:absolute;left:0;text-align:left;margin-left:275.25pt;margin-top:13.3pt;width:185.9pt;height:348.4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oJwIAAEwEAAAOAAAAZHJzL2Uyb0RvYy54bWysVNuO0zAQfUfiHyy/06TZtN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f0lhLD&#10;NEr0LAZP3sJAssBO37kCg546DPMDHqPKsVLXPQL/5oiBTcvMTtxbC30rWI3ZTcPN5OrqiOMCSNV/&#10;hBqfYXsPEWhorA7UIRkE0VGl40WZkArHw+xmni5v0MXRl+dZPl9E7RJWnK931vn3AjQJm5JalD7C&#10;s8Oj8yEdVpxDwmsOlKy3Uqlo2F21UZYcGLbJNn6xghdhypC+pMtZNhsZ+CtEGr8/QWjpsd+V1CVd&#10;XIJYEXh7Z+rYjZ5JNe4xZWVORAbuRhb9UA1RsdlZnwrqIzJrYWxvHEfctGB/UNJja5fUfd8zKyhR&#10;Hwyqs5zmeZiFaOSz2wwNe+2prj3McIQqqadk3G58nJ/Am4F7VLGRkd8g95jJKWVs2Uj7abzCTFzb&#10;MerXT2D9EwAA//8DAFBLAwQUAAYACAAAACEA93KlFOIAAAAPAQAADwAAAGRycy9kb3ducmV2Lnht&#10;bExPz0/CMBS+m/g/NM/Em3QMN2GsIwbDhZuTKMey1rWwvi5rgfHf+zzp5SVf3vezXI2uYxc9BOtR&#10;wHSSANPYeGWxFbD72DzNgYUoUcnOoxZw0wFW1f1dKQvlr/iuL3VsGZlgKKQAE2NfcB4ao50ME99r&#10;pN+3H5yMBIeWq0Feydx1PE2SnDtpkRKM7PXa6OZUn52AcJpusi9/3Jn99mbq495+2u1aiMeH8W1J&#10;53UJLOox/ingdwP1h4qKHfwZVWCdgCxLMqIKSPMcGBEWaToDdhDwks6egVcl/7+j+gEAAP//AwBQ&#10;SwECLQAUAAYACAAAACEAtoM4kv4AAADhAQAAEwAAAAAAAAAAAAAAAAAAAAAAW0NvbnRlbnRfVHlw&#10;ZXNdLnhtbFBLAQItABQABgAIAAAAIQA4/SH/1gAAAJQBAAALAAAAAAAAAAAAAAAAAC8BAABfcmVs&#10;cy8ucmVsc1BLAQItABQABgAIAAAAIQDN+uMoJwIAAEwEAAAOAAAAAAAAAAAAAAAAAC4CAABkcnMv&#10;ZTJvRG9jLnhtbFBLAQItABQABgAIAAAAIQD3cqUU4gAAAA8BAAAPAAAAAAAAAAAAAAAAAIEEAABk&#10;cnMvZG93bnJldi54bWxQSwUGAAAAAAQABADzAAAAkAUAAAAA&#10;">
                <v:textbox>
                  <w:txbxContent>
                    <w:p w14:paraId="01A6B373" w14:textId="77777777" w:rsidR="00791098" w:rsidRDefault="00791098" w:rsidP="007914A3">
                      <w:pPr>
                        <w:jc w:val="both"/>
                        <w:rPr>
                          <w:sz w:val="28"/>
                        </w:rPr>
                      </w:pPr>
                    </w:p>
                    <w:p w14:paraId="5384E39D" w14:textId="77777777" w:rsidR="00791098" w:rsidRDefault="00791098" w:rsidP="00A3657A">
                      <w:pPr>
                        <w:spacing w:after="0"/>
                        <w:jc w:val="center"/>
                        <w:rPr>
                          <w:sz w:val="28"/>
                        </w:rPr>
                      </w:pPr>
                      <w:r>
                        <w:rPr>
                          <w:sz w:val="28"/>
                        </w:rPr>
                        <w:t>SRI LANKA’S</w:t>
                      </w:r>
                    </w:p>
                    <w:p w14:paraId="0E1EAAD7" w14:textId="2C1CE49D" w:rsidR="00791098" w:rsidRPr="00BB5A42" w:rsidRDefault="00791098" w:rsidP="00A3657A">
                      <w:pPr>
                        <w:jc w:val="center"/>
                        <w:rPr>
                          <w:sz w:val="28"/>
                        </w:rPr>
                      </w:pPr>
                      <w:r w:rsidRPr="00BB5A42">
                        <w:rPr>
                          <w:sz w:val="28"/>
                        </w:rPr>
                        <w:t>BIODIVERSITY EXPENDITURE</w:t>
                      </w:r>
                    </w:p>
                    <w:p w14:paraId="73375F38" w14:textId="4108D351" w:rsidR="00791098" w:rsidRDefault="00791098" w:rsidP="007914A3">
                      <w:pPr>
                        <w:jc w:val="both"/>
                      </w:pPr>
                      <w:r>
                        <w:t xml:space="preserve">Sri Lanka’s public spending on biodiversity is very low, compared to public spending on health, education and public utilities. Its share of GDP is about one-fifth of the world average. </w:t>
                      </w:r>
                    </w:p>
                    <w:p w14:paraId="7DBC00E7" w14:textId="3506CF1A" w:rsidR="00791098" w:rsidRDefault="00791098" w:rsidP="007914A3">
                      <w:pPr>
                        <w:jc w:val="both"/>
                      </w:pPr>
                      <w:r>
                        <w:t>Spending on biodiversity at sub-national level is insignificant, while information on non-state sector spending is scarce.</w:t>
                      </w:r>
                    </w:p>
                    <w:p w14:paraId="42B6ADC9" w14:textId="5BABEE8D" w:rsidR="00791098" w:rsidRDefault="00791098" w:rsidP="007914A3">
                      <w:pPr>
                        <w:jc w:val="both"/>
                      </w:pPr>
                      <w:r>
                        <w:t>Public spending on biodiversity is scattered among 20 agencies under 5 Ministries. Coordination issues and frequent alterations among and within them have raised concern over efficiency and effectiveness of public spending on biodiversity.</w:t>
                      </w:r>
                    </w:p>
                    <w:p w14:paraId="4F49C233" w14:textId="20DBFD1B" w:rsidR="00791098" w:rsidRPr="007914A3" w:rsidRDefault="00791098" w:rsidP="007914A3">
                      <w:pPr>
                        <w:pStyle w:val="ListParagraph"/>
                        <w:numPr>
                          <w:ilvl w:val="0"/>
                          <w:numId w:val="31"/>
                        </w:numPr>
                        <w:jc w:val="both"/>
                        <w:rPr>
                          <w:sz w:val="18"/>
                        </w:rPr>
                      </w:pPr>
                      <w:r w:rsidRPr="007914A3">
                        <w:rPr>
                          <w:i/>
                          <w:sz w:val="18"/>
                        </w:rPr>
                        <w:t>Biodiversity Expenditure Review</w:t>
                      </w:r>
                      <w:r w:rsidRPr="007914A3">
                        <w:rPr>
                          <w:sz w:val="18"/>
                        </w:rPr>
                        <w:t>, 2018 April</w:t>
                      </w:r>
                    </w:p>
                  </w:txbxContent>
                </v:textbox>
                <w10:wrap type="square"/>
              </v:shape>
            </w:pict>
          </mc:Fallback>
        </mc:AlternateContent>
      </w:r>
      <w:r w:rsidR="00C41BE9">
        <w:t>The finance solution is for implementation. As per the Biodiversity Expenditure Review (BER), both direct and indirect government expenditure on biodiversity-related activities is as small as 0.3 percent of the annual budget and, 0.07 percent of GDP. There is a clear justification for a substantial increase in budgetary spending for biodiversity. The need for increase in budgetary allocation for biodiversity can be further supported by the uniqueness of the Sri Lankan island as biodiversity and marine “hotspot” and the rapidly changing economic landscape of the country.</w:t>
      </w:r>
    </w:p>
    <w:p w14:paraId="6B788B18" w14:textId="77777777" w:rsidR="00E427F9" w:rsidRDefault="00540DE2" w:rsidP="00BB5D98">
      <w:pPr>
        <w:jc w:val="both"/>
      </w:pPr>
      <w:r>
        <w:t xml:space="preserve">Given the commencement of the financial year of Sri Lanka on January 1, budgetary process begins with the preparation of expenditure estimates </w:t>
      </w:r>
      <w:r w:rsidR="00887F41">
        <w:t>by the government agencies in the mid-year.</w:t>
      </w:r>
      <w:r w:rsidR="00B943B8">
        <w:t xml:space="preserve"> As the budget </w:t>
      </w:r>
      <w:proofErr w:type="gramStart"/>
      <w:r w:rsidR="00B943B8">
        <w:t>takes into account</w:t>
      </w:r>
      <w:proofErr w:type="gramEnd"/>
      <w:r w:rsidR="00B943B8">
        <w:t xml:space="preserve"> basically the expenditure proposals of the government agencies, the lobbying for an increased share of budgetary allocation for spending on biodiversity should originate from the relevant government agencies with clear project proposals. This means that the relevant government agencies such as the Forest Department (FD), </w:t>
      </w:r>
      <w:r w:rsidR="00F0619B">
        <w:t xml:space="preserve">Department of </w:t>
      </w:r>
      <w:r w:rsidR="00F0619B" w:rsidRPr="00F0619B">
        <w:t xml:space="preserve">Coast Conservation and Coastal Resource Management </w:t>
      </w:r>
      <w:r w:rsidR="00F0619B">
        <w:t xml:space="preserve">(DCC), </w:t>
      </w:r>
      <w:r w:rsidR="00F0619B" w:rsidRPr="00F0619B">
        <w:t>Department of Wildlife Conservation</w:t>
      </w:r>
      <w:r w:rsidR="00F0619B">
        <w:t xml:space="preserve"> (DWC) and others</w:t>
      </w:r>
      <w:r w:rsidR="00534483">
        <w:t xml:space="preserve"> </w:t>
      </w:r>
      <w:r w:rsidR="000152EF">
        <w:t>that are listed in the National biodiversity plans</w:t>
      </w:r>
      <w:r w:rsidR="00F0619B">
        <w:t xml:space="preserve"> are required to expand their biodiversity related projects claiming a higher share of government’s budgetary allocations.</w:t>
      </w:r>
    </w:p>
    <w:p w14:paraId="0A7CF5AF" w14:textId="15423A10" w:rsidR="00BB7B52" w:rsidRDefault="00F0619B" w:rsidP="00BB5D98">
      <w:pPr>
        <w:jc w:val="both"/>
      </w:pPr>
      <w:r>
        <w:t xml:space="preserve">This could be achieved by selecting the relevant areas of biodiversity spending as planned and approved in the national reports: </w:t>
      </w:r>
      <w:r w:rsidR="0054130A" w:rsidRPr="0054130A">
        <w:t>NBSAP (2016 - 2022, redefined as 2018 - 2024)</w:t>
      </w:r>
      <w:r w:rsidR="0054130A">
        <w:t xml:space="preserve">, </w:t>
      </w:r>
      <w:r w:rsidR="0054130A" w:rsidRPr="0054130A">
        <w:t>NRIFAP (2018 - 2022)</w:t>
      </w:r>
      <w:r w:rsidR="0054130A">
        <w:t xml:space="preserve">, </w:t>
      </w:r>
      <w:r w:rsidR="0054130A" w:rsidRPr="0054130A">
        <w:t>NAP-CLD (2015 - 2024)</w:t>
      </w:r>
      <w:r w:rsidR="0054130A">
        <w:t>,</w:t>
      </w:r>
      <w:r w:rsidR="0054130A" w:rsidRPr="0054130A">
        <w:rPr>
          <w:rFonts w:ascii="Arial" w:eastAsia="Symbol" w:hAnsi="Arial" w:cs="Arial"/>
          <w:color w:val="000000"/>
          <w:sz w:val="20"/>
          <w:szCs w:val="20"/>
        </w:rPr>
        <w:t xml:space="preserve"> </w:t>
      </w:r>
      <w:r w:rsidR="0054130A" w:rsidRPr="0039121C">
        <w:rPr>
          <w:rFonts w:ascii="Arial" w:eastAsia="Symbol" w:hAnsi="Arial" w:cs="Arial"/>
          <w:color w:val="000000"/>
          <w:sz w:val="20"/>
          <w:szCs w:val="20"/>
        </w:rPr>
        <w:t>NAP-CC</w:t>
      </w:r>
      <w:r w:rsidR="0054130A">
        <w:rPr>
          <w:rFonts w:ascii="Arial" w:eastAsia="Symbol" w:hAnsi="Arial" w:cs="Arial"/>
          <w:color w:val="000000"/>
          <w:sz w:val="20"/>
          <w:szCs w:val="20"/>
        </w:rPr>
        <w:t>I</w:t>
      </w:r>
      <w:r w:rsidR="0054130A" w:rsidRPr="0039121C">
        <w:rPr>
          <w:rFonts w:ascii="Arial" w:eastAsia="Symbol" w:hAnsi="Arial" w:cs="Arial"/>
          <w:color w:val="000000"/>
          <w:sz w:val="20"/>
          <w:szCs w:val="20"/>
        </w:rPr>
        <w:t xml:space="preserve"> </w:t>
      </w:r>
      <w:r w:rsidR="0054130A">
        <w:rPr>
          <w:rFonts w:ascii="Arial" w:eastAsia="Symbol" w:hAnsi="Arial" w:cs="Arial"/>
          <w:color w:val="000000"/>
          <w:sz w:val="20"/>
          <w:szCs w:val="20"/>
        </w:rPr>
        <w:t>(2016 - 2025</w:t>
      </w:r>
      <w:r w:rsidR="0054130A" w:rsidRPr="0039121C">
        <w:rPr>
          <w:rFonts w:ascii="Arial" w:eastAsia="Symbol" w:hAnsi="Arial" w:cs="Arial"/>
          <w:color w:val="000000"/>
          <w:sz w:val="20"/>
          <w:szCs w:val="20"/>
        </w:rPr>
        <w:t>)</w:t>
      </w:r>
      <w:r w:rsidR="0054130A">
        <w:rPr>
          <w:rFonts w:ascii="Arial" w:eastAsia="Symbol" w:hAnsi="Arial" w:cs="Arial"/>
          <w:color w:val="000000"/>
          <w:sz w:val="20"/>
          <w:szCs w:val="20"/>
        </w:rPr>
        <w:t>,</w:t>
      </w:r>
      <w:r w:rsidR="0054130A">
        <w:t xml:space="preserve"> and others. Then, the relevant government agencies should prepare the budgets with incremental spending that could be requested from the government’s annual budget.</w:t>
      </w:r>
      <w:r w:rsidR="005E6EBF">
        <w:t xml:space="preserve"> </w:t>
      </w:r>
      <w:r w:rsidR="00F35843">
        <w:t xml:space="preserve">The whole process requires planning and executing the </w:t>
      </w:r>
      <w:proofErr w:type="spellStart"/>
      <w:r w:rsidR="00F35843">
        <w:t>programme</w:t>
      </w:r>
      <w:proofErr w:type="spellEnd"/>
      <w:r w:rsidR="00F35843">
        <w:t xml:space="preserve"> at 3 levels:</w:t>
      </w:r>
    </w:p>
    <w:p w14:paraId="1539AE29" w14:textId="77777777" w:rsidR="00F35843" w:rsidRPr="005B4282" w:rsidRDefault="0065500A" w:rsidP="005B4282">
      <w:pPr>
        <w:pStyle w:val="ListParagraph"/>
        <w:numPr>
          <w:ilvl w:val="0"/>
          <w:numId w:val="32"/>
        </w:numPr>
        <w:jc w:val="both"/>
      </w:pPr>
      <w:r w:rsidRPr="005B4282">
        <w:t xml:space="preserve">Capacity Development on </w:t>
      </w:r>
      <w:proofErr w:type="gramStart"/>
      <w:r w:rsidR="00F35843" w:rsidRPr="005B4282">
        <w:t>performance</w:t>
      </w:r>
      <w:r w:rsidRPr="005B4282">
        <w:t xml:space="preserve"> based</w:t>
      </w:r>
      <w:proofErr w:type="gramEnd"/>
      <w:r w:rsidRPr="005B4282">
        <w:t xml:space="preserve"> budgeting of government officials invol</w:t>
      </w:r>
      <w:r w:rsidR="00F35843" w:rsidRPr="005B4282">
        <w:t>ved in the budgeting process</w:t>
      </w:r>
    </w:p>
    <w:p w14:paraId="27C6BACE" w14:textId="381BB6CF" w:rsidR="00F35843" w:rsidRPr="005B4282" w:rsidRDefault="0065500A" w:rsidP="005B4282">
      <w:pPr>
        <w:pStyle w:val="ListParagraph"/>
        <w:numPr>
          <w:ilvl w:val="0"/>
          <w:numId w:val="32"/>
        </w:numPr>
        <w:jc w:val="both"/>
      </w:pPr>
      <w:r w:rsidRPr="005B4282">
        <w:t>Support</w:t>
      </w:r>
      <w:r w:rsidR="00F35843" w:rsidRPr="005B4282">
        <w:t>ing</w:t>
      </w:r>
      <w:r w:rsidRPr="005B4282">
        <w:t xml:space="preserve"> the development of </w:t>
      </w:r>
      <w:proofErr w:type="gramStart"/>
      <w:r w:rsidRPr="005B4282">
        <w:t>state of the art</w:t>
      </w:r>
      <w:proofErr w:type="gramEnd"/>
      <w:r w:rsidRPr="005B4282">
        <w:t xml:space="preserve"> budget proposals </w:t>
      </w:r>
      <w:r w:rsidR="00F35843" w:rsidRPr="005B4282">
        <w:t>aimed at conservation and sus</w:t>
      </w:r>
      <w:r w:rsidR="005B4282" w:rsidRPr="005B4282">
        <w:t>tainable use of biodiversity</w:t>
      </w:r>
    </w:p>
    <w:p w14:paraId="632A3D7B" w14:textId="668E4EE9" w:rsidR="0065500A" w:rsidRPr="005B4282" w:rsidRDefault="005B4282" w:rsidP="005B4282">
      <w:pPr>
        <w:pStyle w:val="ListParagraph"/>
        <w:numPr>
          <w:ilvl w:val="0"/>
          <w:numId w:val="32"/>
        </w:numPr>
        <w:jc w:val="both"/>
      </w:pPr>
      <w:r w:rsidRPr="005B4282">
        <w:t>Providing a</w:t>
      </w:r>
      <w:r w:rsidR="0065500A" w:rsidRPr="005B4282">
        <w:t>dvocacy o</w:t>
      </w:r>
      <w:r w:rsidRPr="005B4282">
        <w:t>n</w:t>
      </w:r>
      <w:r w:rsidR="0065500A" w:rsidRPr="005B4282">
        <w:t xml:space="preserve"> budget proposals by articulating benefits across </w:t>
      </w:r>
      <w:r w:rsidRPr="005B4282">
        <w:t xml:space="preserve">SDGs, </w:t>
      </w:r>
      <w:r w:rsidR="0065500A" w:rsidRPr="005B4282">
        <w:t xml:space="preserve">specific </w:t>
      </w:r>
      <w:r w:rsidRPr="005B4282">
        <w:t>biodiversity results that could be achieved and, the growth and development implications of the proposals</w:t>
      </w:r>
    </w:p>
    <w:p w14:paraId="76E9E5A8" w14:textId="77777777" w:rsidR="00B943B8" w:rsidRDefault="00DD383D" w:rsidP="00BB5D98">
      <w:pPr>
        <w:jc w:val="both"/>
      </w:pPr>
      <w:r>
        <w:t>Business case</w:t>
      </w:r>
    </w:p>
    <w:p w14:paraId="061C48E2" w14:textId="77777777" w:rsidR="00DD383D" w:rsidRDefault="00BB7B52" w:rsidP="00BB5D98">
      <w:pPr>
        <w:jc w:val="both"/>
      </w:pPr>
      <w:r w:rsidRPr="00BB7B52">
        <w:t>As Sri Lanka is in the process of expanding the tax base with the introduction of the new Inland Revenue Act 24 of 2017, this could be the right timing for lobbying for higher budgetary allocations.</w:t>
      </w:r>
      <w:r>
        <w:t xml:space="preserve"> </w:t>
      </w:r>
      <w:r w:rsidR="00391883">
        <w:t xml:space="preserve">It could be </w:t>
      </w:r>
      <w:r w:rsidR="00063608">
        <w:t>rationalized</w:t>
      </w:r>
      <w:r w:rsidR="00391883">
        <w:t xml:space="preserve"> with the exposure of rather small budgetary allocations on biodiversity.</w:t>
      </w:r>
      <w:r w:rsidR="00063608">
        <w:t xml:space="preserve"> The claim for an increased share of budgetary allocation is further justifiable on the ground of strong criticism against poor track record of implementing the country’s strategic plans on biodiversity.</w:t>
      </w:r>
      <w:r w:rsidR="00E15F6B">
        <w:t xml:space="preserve"> The proposal based on already approved strategic plans can be implemented with the existing institutional and their operational mechanisms.</w:t>
      </w:r>
    </w:p>
    <w:p w14:paraId="0624BA7B" w14:textId="77777777" w:rsidR="00534483" w:rsidRDefault="00534483" w:rsidP="00BB5D98">
      <w:pPr>
        <w:jc w:val="both"/>
      </w:pPr>
      <w:r>
        <w:t>Responsibility</w:t>
      </w:r>
    </w:p>
    <w:p w14:paraId="4A12B2E3" w14:textId="77777777" w:rsidR="00534483" w:rsidRDefault="00534483" w:rsidP="00BB5D98">
      <w:pPr>
        <w:jc w:val="both"/>
      </w:pPr>
      <w:r>
        <w:t xml:space="preserve">The main responsibility is with implementing agencies of the government such as the departments, statutory bodies and local and provincial government bodies that are operating in the areas related to biodiversity. Therefore, main agencies such as the </w:t>
      </w:r>
      <w:r w:rsidRPr="00534483">
        <w:t xml:space="preserve">Forest Department (FD), </w:t>
      </w:r>
      <w:r>
        <w:t xml:space="preserve">the </w:t>
      </w:r>
      <w:r w:rsidRPr="00534483">
        <w:t xml:space="preserve">Department of Coast Conservation and Coastal Resource Management (DCC), </w:t>
      </w:r>
      <w:r>
        <w:t xml:space="preserve">the </w:t>
      </w:r>
      <w:r w:rsidRPr="00534483">
        <w:t xml:space="preserve">Department of </w:t>
      </w:r>
      <w:r>
        <w:t>Wildlife Conservation (DWC) and other related departments and statutory bodies need to be the implementing agencies which prepare the specific projects in line with national plans and lobby for the required allocations from the national budgets.</w:t>
      </w:r>
      <w:r w:rsidR="00E15F6B">
        <w:t xml:space="preserve"> </w:t>
      </w:r>
    </w:p>
    <w:p w14:paraId="517D4EA0" w14:textId="306F2FE0" w:rsidR="007B4B05" w:rsidRDefault="007B4B05" w:rsidP="00BB5D98">
      <w:pPr>
        <w:jc w:val="both"/>
      </w:pPr>
      <w:r>
        <w:t xml:space="preserve">The mechanism of obtaining </w:t>
      </w:r>
      <w:r w:rsidR="008E7BEE">
        <w:t>higher share of budget allocation depends on the proposed biodiversity plans by the relevant agencies. With viable projects with implementation schedules, the agencies can submit their requests to the Ministry of Finance in line with the annual budgetary process.</w:t>
      </w:r>
    </w:p>
    <w:p w14:paraId="168CC308" w14:textId="17F95A6B" w:rsidR="00D53E31" w:rsidRDefault="00D53E31" w:rsidP="00BB5D98">
      <w:pPr>
        <w:jc w:val="both"/>
      </w:pPr>
      <w:r>
        <w:t>Financial result</w:t>
      </w:r>
    </w:p>
    <w:p w14:paraId="31D6C968" w14:textId="5F603324" w:rsidR="00D53E31" w:rsidRDefault="00D818FC" w:rsidP="00BB5D98">
      <w:pPr>
        <w:jc w:val="both"/>
      </w:pPr>
      <w:r w:rsidRPr="00D818FC">
        <w:t>According to Biodiversity Expenditure Review (BER), total direct and indirect government expenditure on biodiversity amounted to LKR 7 billion in 2015. This amounts to 0.3 percent of total government expenditure. An increase in budgetary allocation from the baseline of 0.3 percent to 0.4 percent of total expenditure, requires an additional LKR 3 billion a year, which is equivalent to US$ 18 million.</w:t>
      </w:r>
    </w:p>
    <w:p w14:paraId="140FBA34" w14:textId="69DC823C" w:rsidR="00757A82" w:rsidRDefault="00757A82" w:rsidP="00BB5D98">
      <w:pPr>
        <w:jc w:val="both"/>
      </w:pPr>
      <w:r>
        <w:t>Since it is a choice of the government to decide the areas and projects where increased biodiversity can be allocated, it is worthwhile making a list of priority area and projects for spending. This approach will help to specify the achievement of national targets from the NBSAP.</w:t>
      </w:r>
    </w:p>
    <w:p w14:paraId="4A657CC4" w14:textId="77777777" w:rsidR="00534483" w:rsidRDefault="00DD03B4" w:rsidP="00BB5D98">
      <w:pPr>
        <w:jc w:val="both"/>
      </w:pPr>
      <w:r>
        <w:t>Action plan</w:t>
      </w:r>
    </w:p>
    <w:tbl>
      <w:tblPr>
        <w:tblStyle w:val="TableGrid"/>
        <w:tblW w:w="0" w:type="auto"/>
        <w:tblLook w:val="04A0" w:firstRow="1" w:lastRow="0" w:firstColumn="1" w:lastColumn="0" w:noHBand="0" w:noVBand="1"/>
      </w:tblPr>
      <w:tblGrid>
        <w:gridCol w:w="2014"/>
        <w:gridCol w:w="2039"/>
        <w:gridCol w:w="1506"/>
        <w:gridCol w:w="494"/>
        <w:gridCol w:w="494"/>
        <w:gridCol w:w="494"/>
        <w:gridCol w:w="494"/>
        <w:gridCol w:w="494"/>
        <w:gridCol w:w="494"/>
        <w:gridCol w:w="494"/>
      </w:tblGrid>
      <w:tr w:rsidR="00DD03B4" w14:paraId="32F42DA0" w14:textId="77777777" w:rsidTr="00DD03B4">
        <w:tc>
          <w:tcPr>
            <w:tcW w:w="2014" w:type="dxa"/>
            <w:vMerge w:val="restart"/>
            <w:vAlign w:val="center"/>
          </w:tcPr>
          <w:p w14:paraId="32703DED" w14:textId="77777777" w:rsidR="00DD03B4" w:rsidRPr="00C27851" w:rsidRDefault="00DD03B4" w:rsidP="00DD03B4">
            <w:r w:rsidRPr="00C27851">
              <w:t>Output</w:t>
            </w:r>
          </w:p>
        </w:tc>
        <w:tc>
          <w:tcPr>
            <w:tcW w:w="2039" w:type="dxa"/>
            <w:vMerge w:val="restart"/>
            <w:vAlign w:val="center"/>
          </w:tcPr>
          <w:p w14:paraId="170474F5" w14:textId="77777777" w:rsidR="00DD03B4" w:rsidRPr="00C27851" w:rsidRDefault="00DD03B4" w:rsidP="00DD03B4">
            <w:r w:rsidRPr="00C27851">
              <w:t>Main activities</w:t>
            </w:r>
          </w:p>
        </w:tc>
        <w:tc>
          <w:tcPr>
            <w:tcW w:w="1506" w:type="dxa"/>
            <w:vMerge w:val="restart"/>
            <w:vAlign w:val="center"/>
          </w:tcPr>
          <w:p w14:paraId="210795E6" w14:textId="77777777" w:rsidR="00DD03B4" w:rsidRPr="00C27851" w:rsidRDefault="00DD03B4" w:rsidP="00DD03B4">
            <w:r w:rsidRPr="00C27851">
              <w:t>Responsibility</w:t>
            </w:r>
          </w:p>
        </w:tc>
        <w:tc>
          <w:tcPr>
            <w:tcW w:w="3458" w:type="dxa"/>
            <w:gridSpan w:val="7"/>
            <w:vAlign w:val="center"/>
          </w:tcPr>
          <w:p w14:paraId="3B0E698E" w14:textId="77777777" w:rsidR="00DD03B4" w:rsidRPr="00C27851" w:rsidRDefault="00DD03B4" w:rsidP="005C7CAD">
            <w:pPr>
              <w:jc w:val="center"/>
            </w:pPr>
            <w:r w:rsidRPr="00C27851">
              <w:t>Year</w:t>
            </w:r>
          </w:p>
        </w:tc>
      </w:tr>
      <w:tr w:rsidR="00DD03B4" w14:paraId="1037B44B" w14:textId="77777777" w:rsidTr="00DD03B4">
        <w:tc>
          <w:tcPr>
            <w:tcW w:w="2014" w:type="dxa"/>
            <w:vMerge/>
            <w:vAlign w:val="center"/>
          </w:tcPr>
          <w:p w14:paraId="5C872013" w14:textId="77777777" w:rsidR="00DD03B4" w:rsidRDefault="00DD03B4" w:rsidP="00DD03B4"/>
        </w:tc>
        <w:tc>
          <w:tcPr>
            <w:tcW w:w="2039" w:type="dxa"/>
            <w:vMerge/>
            <w:vAlign w:val="center"/>
          </w:tcPr>
          <w:p w14:paraId="46E667A5" w14:textId="77777777" w:rsidR="00DD03B4" w:rsidRDefault="00DD03B4" w:rsidP="00DD03B4"/>
        </w:tc>
        <w:tc>
          <w:tcPr>
            <w:tcW w:w="1506" w:type="dxa"/>
            <w:vMerge/>
            <w:vAlign w:val="center"/>
          </w:tcPr>
          <w:p w14:paraId="1023109E" w14:textId="77777777" w:rsidR="00DD03B4" w:rsidRDefault="00DD03B4" w:rsidP="00DD03B4"/>
        </w:tc>
        <w:tc>
          <w:tcPr>
            <w:tcW w:w="494" w:type="dxa"/>
            <w:vAlign w:val="center"/>
          </w:tcPr>
          <w:p w14:paraId="2C41318D" w14:textId="77777777" w:rsidR="00DD03B4" w:rsidRDefault="00DD03B4" w:rsidP="005C7CAD">
            <w:pPr>
              <w:jc w:val="center"/>
            </w:pPr>
            <w:r w:rsidRPr="00C27851">
              <w:t>‘18</w:t>
            </w:r>
          </w:p>
        </w:tc>
        <w:tc>
          <w:tcPr>
            <w:tcW w:w="494" w:type="dxa"/>
            <w:vAlign w:val="center"/>
          </w:tcPr>
          <w:p w14:paraId="5C16B1E2" w14:textId="77777777" w:rsidR="00DD03B4" w:rsidRDefault="00DD03B4" w:rsidP="005C7CAD">
            <w:pPr>
              <w:jc w:val="center"/>
            </w:pPr>
            <w:r w:rsidRPr="00C27851">
              <w:t>‘19</w:t>
            </w:r>
          </w:p>
        </w:tc>
        <w:tc>
          <w:tcPr>
            <w:tcW w:w="494" w:type="dxa"/>
            <w:vAlign w:val="center"/>
          </w:tcPr>
          <w:p w14:paraId="6DB305C3" w14:textId="77777777" w:rsidR="00DD03B4" w:rsidRDefault="00DD03B4" w:rsidP="005C7CAD">
            <w:pPr>
              <w:jc w:val="center"/>
            </w:pPr>
            <w:r w:rsidRPr="00C27851">
              <w:t>‘20</w:t>
            </w:r>
          </w:p>
        </w:tc>
        <w:tc>
          <w:tcPr>
            <w:tcW w:w="494" w:type="dxa"/>
            <w:vAlign w:val="center"/>
          </w:tcPr>
          <w:p w14:paraId="07F101CE" w14:textId="77777777" w:rsidR="00DD03B4" w:rsidRDefault="00DD03B4" w:rsidP="005C7CAD">
            <w:pPr>
              <w:jc w:val="center"/>
            </w:pPr>
            <w:r w:rsidRPr="00C27851">
              <w:t>‘21</w:t>
            </w:r>
          </w:p>
        </w:tc>
        <w:tc>
          <w:tcPr>
            <w:tcW w:w="494" w:type="dxa"/>
            <w:vAlign w:val="center"/>
          </w:tcPr>
          <w:p w14:paraId="43DEE7F8" w14:textId="77777777" w:rsidR="00DD03B4" w:rsidRDefault="00DD03B4" w:rsidP="005C7CAD">
            <w:pPr>
              <w:jc w:val="center"/>
            </w:pPr>
            <w:r w:rsidRPr="00C27851">
              <w:t>‘22</w:t>
            </w:r>
          </w:p>
        </w:tc>
        <w:tc>
          <w:tcPr>
            <w:tcW w:w="494" w:type="dxa"/>
            <w:vAlign w:val="center"/>
          </w:tcPr>
          <w:p w14:paraId="5975EE68" w14:textId="77777777" w:rsidR="00DD03B4" w:rsidRDefault="00DD03B4" w:rsidP="005C7CAD">
            <w:pPr>
              <w:jc w:val="center"/>
            </w:pPr>
            <w:r w:rsidRPr="00C27851">
              <w:t>‘23</w:t>
            </w:r>
          </w:p>
        </w:tc>
        <w:tc>
          <w:tcPr>
            <w:tcW w:w="494" w:type="dxa"/>
            <w:vAlign w:val="center"/>
          </w:tcPr>
          <w:p w14:paraId="1C47F967" w14:textId="77777777" w:rsidR="00DD03B4" w:rsidRDefault="00DD03B4" w:rsidP="005C7CAD">
            <w:pPr>
              <w:jc w:val="center"/>
            </w:pPr>
            <w:r w:rsidRPr="00C27851">
              <w:t>‘24</w:t>
            </w:r>
          </w:p>
        </w:tc>
      </w:tr>
      <w:tr w:rsidR="0022212C" w14:paraId="3D778488" w14:textId="77777777" w:rsidTr="0022212C">
        <w:tc>
          <w:tcPr>
            <w:tcW w:w="2014" w:type="dxa"/>
            <w:vMerge w:val="restart"/>
            <w:vAlign w:val="center"/>
          </w:tcPr>
          <w:p w14:paraId="62A8C567" w14:textId="77777777" w:rsidR="0022212C" w:rsidRDefault="0022212C" w:rsidP="00DD03B4">
            <w:r>
              <w:t>Set of biodiversity projects</w:t>
            </w:r>
          </w:p>
        </w:tc>
        <w:tc>
          <w:tcPr>
            <w:tcW w:w="2039" w:type="dxa"/>
            <w:vAlign w:val="center"/>
          </w:tcPr>
          <w:p w14:paraId="7FA9E8DD" w14:textId="77777777" w:rsidR="0022212C" w:rsidRDefault="0022212C" w:rsidP="00DD03B4">
            <w:r>
              <w:t>Selection of implementing agencies</w:t>
            </w:r>
          </w:p>
        </w:tc>
        <w:tc>
          <w:tcPr>
            <w:tcW w:w="1506" w:type="dxa"/>
            <w:vAlign w:val="center"/>
          </w:tcPr>
          <w:p w14:paraId="34576E6E" w14:textId="77777777" w:rsidR="0022212C" w:rsidRDefault="0022212C" w:rsidP="00DD03B4">
            <w:r>
              <w:t>MMDE</w:t>
            </w:r>
          </w:p>
        </w:tc>
        <w:tc>
          <w:tcPr>
            <w:tcW w:w="494" w:type="dxa"/>
            <w:shd w:val="clear" w:color="auto" w:fill="FFFFFF" w:themeFill="background1"/>
            <w:vAlign w:val="center"/>
          </w:tcPr>
          <w:p w14:paraId="19344D73" w14:textId="77777777" w:rsidR="0022212C" w:rsidRDefault="0022212C" w:rsidP="005C7CAD">
            <w:pPr>
              <w:jc w:val="center"/>
            </w:pPr>
          </w:p>
        </w:tc>
        <w:tc>
          <w:tcPr>
            <w:tcW w:w="494" w:type="dxa"/>
            <w:shd w:val="clear" w:color="auto" w:fill="BFBFBF" w:themeFill="background1" w:themeFillShade="BF"/>
            <w:vAlign w:val="center"/>
          </w:tcPr>
          <w:p w14:paraId="068C064E" w14:textId="77777777" w:rsidR="0022212C" w:rsidRDefault="0022212C" w:rsidP="005C7CAD">
            <w:pPr>
              <w:jc w:val="center"/>
            </w:pPr>
          </w:p>
        </w:tc>
        <w:tc>
          <w:tcPr>
            <w:tcW w:w="494" w:type="dxa"/>
            <w:vAlign w:val="center"/>
          </w:tcPr>
          <w:p w14:paraId="44DA836D" w14:textId="77777777" w:rsidR="0022212C" w:rsidRDefault="0022212C" w:rsidP="005C7CAD">
            <w:pPr>
              <w:jc w:val="center"/>
            </w:pPr>
          </w:p>
        </w:tc>
        <w:tc>
          <w:tcPr>
            <w:tcW w:w="494" w:type="dxa"/>
            <w:vAlign w:val="center"/>
          </w:tcPr>
          <w:p w14:paraId="0DF0C311" w14:textId="77777777" w:rsidR="0022212C" w:rsidRDefault="0022212C" w:rsidP="005C7CAD">
            <w:pPr>
              <w:jc w:val="center"/>
            </w:pPr>
          </w:p>
        </w:tc>
        <w:tc>
          <w:tcPr>
            <w:tcW w:w="494" w:type="dxa"/>
            <w:vAlign w:val="center"/>
          </w:tcPr>
          <w:p w14:paraId="68782E2D" w14:textId="77777777" w:rsidR="0022212C" w:rsidRDefault="0022212C" w:rsidP="005C7CAD">
            <w:pPr>
              <w:jc w:val="center"/>
            </w:pPr>
          </w:p>
        </w:tc>
        <w:tc>
          <w:tcPr>
            <w:tcW w:w="494" w:type="dxa"/>
            <w:vAlign w:val="center"/>
          </w:tcPr>
          <w:p w14:paraId="65906DBB" w14:textId="77777777" w:rsidR="0022212C" w:rsidRDefault="0022212C" w:rsidP="005C7CAD">
            <w:pPr>
              <w:jc w:val="center"/>
            </w:pPr>
          </w:p>
        </w:tc>
        <w:tc>
          <w:tcPr>
            <w:tcW w:w="494" w:type="dxa"/>
            <w:vAlign w:val="center"/>
          </w:tcPr>
          <w:p w14:paraId="70CE82A9" w14:textId="77777777" w:rsidR="0022212C" w:rsidRDefault="0022212C" w:rsidP="005C7CAD">
            <w:pPr>
              <w:jc w:val="center"/>
            </w:pPr>
          </w:p>
        </w:tc>
      </w:tr>
      <w:tr w:rsidR="0022212C" w14:paraId="29BBC6D4" w14:textId="77777777" w:rsidTr="0022212C">
        <w:tc>
          <w:tcPr>
            <w:tcW w:w="2014" w:type="dxa"/>
            <w:vMerge/>
            <w:vAlign w:val="center"/>
          </w:tcPr>
          <w:p w14:paraId="2D24280E" w14:textId="77777777" w:rsidR="0022212C" w:rsidRDefault="0022212C" w:rsidP="00DD03B4"/>
        </w:tc>
        <w:tc>
          <w:tcPr>
            <w:tcW w:w="2039" w:type="dxa"/>
            <w:vAlign w:val="center"/>
          </w:tcPr>
          <w:p w14:paraId="5F2161F9" w14:textId="77777777" w:rsidR="0022212C" w:rsidRDefault="0022212C" w:rsidP="00DD03B4">
            <w:r>
              <w:t>Consultation of the implementing agencies</w:t>
            </w:r>
          </w:p>
        </w:tc>
        <w:tc>
          <w:tcPr>
            <w:tcW w:w="1506" w:type="dxa"/>
            <w:vAlign w:val="center"/>
          </w:tcPr>
          <w:p w14:paraId="1EB872D6" w14:textId="77777777" w:rsidR="0022212C" w:rsidRDefault="0022212C" w:rsidP="00DD03B4">
            <w:r>
              <w:t>MMDE</w:t>
            </w:r>
          </w:p>
        </w:tc>
        <w:tc>
          <w:tcPr>
            <w:tcW w:w="494" w:type="dxa"/>
            <w:vAlign w:val="center"/>
          </w:tcPr>
          <w:p w14:paraId="251A4C5E" w14:textId="77777777" w:rsidR="0022212C" w:rsidRDefault="0022212C" w:rsidP="005C7CAD">
            <w:pPr>
              <w:jc w:val="center"/>
            </w:pPr>
          </w:p>
        </w:tc>
        <w:tc>
          <w:tcPr>
            <w:tcW w:w="494" w:type="dxa"/>
            <w:shd w:val="clear" w:color="auto" w:fill="BFBFBF" w:themeFill="background1" w:themeFillShade="BF"/>
            <w:vAlign w:val="center"/>
          </w:tcPr>
          <w:p w14:paraId="7CF076B4" w14:textId="77777777" w:rsidR="0022212C" w:rsidRDefault="0022212C" w:rsidP="005C7CAD">
            <w:pPr>
              <w:jc w:val="center"/>
            </w:pPr>
          </w:p>
        </w:tc>
        <w:tc>
          <w:tcPr>
            <w:tcW w:w="494" w:type="dxa"/>
            <w:vAlign w:val="center"/>
          </w:tcPr>
          <w:p w14:paraId="3006DF50" w14:textId="77777777" w:rsidR="0022212C" w:rsidRDefault="0022212C" w:rsidP="005C7CAD">
            <w:pPr>
              <w:jc w:val="center"/>
            </w:pPr>
          </w:p>
        </w:tc>
        <w:tc>
          <w:tcPr>
            <w:tcW w:w="494" w:type="dxa"/>
            <w:vAlign w:val="center"/>
          </w:tcPr>
          <w:p w14:paraId="12B1C6B9" w14:textId="77777777" w:rsidR="0022212C" w:rsidRDefault="0022212C" w:rsidP="005C7CAD">
            <w:pPr>
              <w:jc w:val="center"/>
            </w:pPr>
          </w:p>
        </w:tc>
        <w:tc>
          <w:tcPr>
            <w:tcW w:w="494" w:type="dxa"/>
            <w:vAlign w:val="center"/>
          </w:tcPr>
          <w:p w14:paraId="492165B2" w14:textId="77777777" w:rsidR="0022212C" w:rsidRDefault="0022212C" w:rsidP="005C7CAD">
            <w:pPr>
              <w:jc w:val="center"/>
            </w:pPr>
          </w:p>
        </w:tc>
        <w:tc>
          <w:tcPr>
            <w:tcW w:w="494" w:type="dxa"/>
            <w:vAlign w:val="center"/>
          </w:tcPr>
          <w:p w14:paraId="21474A3D" w14:textId="77777777" w:rsidR="0022212C" w:rsidRDefault="0022212C" w:rsidP="005C7CAD">
            <w:pPr>
              <w:jc w:val="center"/>
            </w:pPr>
          </w:p>
        </w:tc>
        <w:tc>
          <w:tcPr>
            <w:tcW w:w="494" w:type="dxa"/>
            <w:vAlign w:val="center"/>
          </w:tcPr>
          <w:p w14:paraId="46F7C134" w14:textId="77777777" w:rsidR="0022212C" w:rsidRDefault="0022212C" w:rsidP="005C7CAD">
            <w:pPr>
              <w:jc w:val="center"/>
            </w:pPr>
          </w:p>
        </w:tc>
      </w:tr>
      <w:tr w:rsidR="005B4282" w14:paraId="500B2382" w14:textId="77777777" w:rsidTr="0022212C">
        <w:tc>
          <w:tcPr>
            <w:tcW w:w="2014" w:type="dxa"/>
            <w:vMerge/>
            <w:vAlign w:val="center"/>
          </w:tcPr>
          <w:p w14:paraId="1C95B4E5" w14:textId="77777777" w:rsidR="005B4282" w:rsidRDefault="005B4282" w:rsidP="00DD03B4"/>
        </w:tc>
        <w:tc>
          <w:tcPr>
            <w:tcW w:w="2039" w:type="dxa"/>
            <w:vAlign w:val="center"/>
          </w:tcPr>
          <w:p w14:paraId="364963DF" w14:textId="6FBFC854" w:rsidR="005B4282" w:rsidRDefault="005B4282" w:rsidP="00DD03B4">
            <w:r>
              <w:t>Capacity building on performance-based budgeting for investing in biodiversity</w:t>
            </w:r>
          </w:p>
        </w:tc>
        <w:tc>
          <w:tcPr>
            <w:tcW w:w="1506" w:type="dxa"/>
            <w:vAlign w:val="center"/>
          </w:tcPr>
          <w:p w14:paraId="38894212" w14:textId="77777777" w:rsidR="005B4282" w:rsidRDefault="005B4282" w:rsidP="00DD03B4"/>
        </w:tc>
        <w:tc>
          <w:tcPr>
            <w:tcW w:w="494" w:type="dxa"/>
            <w:vAlign w:val="center"/>
          </w:tcPr>
          <w:p w14:paraId="04B88123" w14:textId="77777777" w:rsidR="005B4282" w:rsidRDefault="005B4282" w:rsidP="005C7CAD">
            <w:pPr>
              <w:jc w:val="center"/>
            </w:pPr>
          </w:p>
        </w:tc>
        <w:tc>
          <w:tcPr>
            <w:tcW w:w="494" w:type="dxa"/>
            <w:shd w:val="clear" w:color="auto" w:fill="BFBFBF" w:themeFill="background1" w:themeFillShade="BF"/>
            <w:vAlign w:val="center"/>
          </w:tcPr>
          <w:p w14:paraId="353ED1F7" w14:textId="77777777" w:rsidR="005B4282" w:rsidRDefault="005B4282" w:rsidP="005C7CAD">
            <w:pPr>
              <w:jc w:val="center"/>
            </w:pPr>
          </w:p>
        </w:tc>
        <w:tc>
          <w:tcPr>
            <w:tcW w:w="494" w:type="dxa"/>
            <w:shd w:val="clear" w:color="auto" w:fill="BFBFBF" w:themeFill="background1" w:themeFillShade="BF"/>
            <w:vAlign w:val="center"/>
          </w:tcPr>
          <w:p w14:paraId="4609B7B0" w14:textId="77777777" w:rsidR="005B4282" w:rsidRDefault="005B4282" w:rsidP="005C7CAD">
            <w:pPr>
              <w:jc w:val="center"/>
            </w:pPr>
          </w:p>
        </w:tc>
        <w:tc>
          <w:tcPr>
            <w:tcW w:w="494" w:type="dxa"/>
            <w:shd w:val="clear" w:color="auto" w:fill="FFFFFF" w:themeFill="background1"/>
            <w:vAlign w:val="center"/>
          </w:tcPr>
          <w:p w14:paraId="7DD8B54C" w14:textId="77777777" w:rsidR="005B4282" w:rsidRDefault="005B4282" w:rsidP="005C7CAD">
            <w:pPr>
              <w:jc w:val="center"/>
            </w:pPr>
          </w:p>
        </w:tc>
        <w:tc>
          <w:tcPr>
            <w:tcW w:w="494" w:type="dxa"/>
            <w:vAlign w:val="center"/>
          </w:tcPr>
          <w:p w14:paraId="7DB0270E" w14:textId="77777777" w:rsidR="005B4282" w:rsidRDefault="005B4282" w:rsidP="005C7CAD">
            <w:pPr>
              <w:jc w:val="center"/>
            </w:pPr>
          </w:p>
        </w:tc>
        <w:tc>
          <w:tcPr>
            <w:tcW w:w="494" w:type="dxa"/>
            <w:vAlign w:val="center"/>
          </w:tcPr>
          <w:p w14:paraId="69D74D6D" w14:textId="77777777" w:rsidR="005B4282" w:rsidRDefault="005B4282" w:rsidP="005C7CAD">
            <w:pPr>
              <w:jc w:val="center"/>
            </w:pPr>
          </w:p>
        </w:tc>
        <w:tc>
          <w:tcPr>
            <w:tcW w:w="494" w:type="dxa"/>
            <w:vAlign w:val="center"/>
          </w:tcPr>
          <w:p w14:paraId="03C24CDB" w14:textId="77777777" w:rsidR="005B4282" w:rsidRDefault="005B4282" w:rsidP="005C7CAD">
            <w:pPr>
              <w:jc w:val="center"/>
            </w:pPr>
          </w:p>
        </w:tc>
      </w:tr>
      <w:tr w:rsidR="0022212C" w14:paraId="0A0A07D9" w14:textId="77777777" w:rsidTr="0022212C">
        <w:tc>
          <w:tcPr>
            <w:tcW w:w="2014" w:type="dxa"/>
            <w:vMerge/>
            <w:vAlign w:val="center"/>
          </w:tcPr>
          <w:p w14:paraId="23C76BD0" w14:textId="77777777" w:rsidR="0022212C" w:rsidRDefault="0022212C" w:rsidP="00DD03B4"/>
        </w:tc>
        <w:tc>
          <w:tcPr>
            <w:tcW w:w="2039" w:type="dxa"/>
            <w:vAlign w:val="center"/>
          </w:tcPr>
          <w:p w14:paraId="347FD844" w14:textId="77777777" w:rsidR="0022212C" w:rsidRDefault="0022212C" w:rsidP="00DD03B4">
            <w:r>
              <w:t>Reviewing the plans and selecting projects</w:t>
            </w:r>
          </w:p>
        </w:tc>
        <w:tc>
          <w:tcPr>
            <w:tcW w:w="1506" w:type="dxa"/>
            <w:vAlign w:val="center"/>
          </w:tcPr>
          <w:p w14:paraId="27986A0B" w14:textId="77777777" w:rsidR="0022212C" w:rsidRDefault="0022212C" w:rsidP="00DD03B4">
            <w:r>
              <w:t xml:space="preserve">FD, </w:t>
            </w:r>
            <w:r w:rsidRPr="00E15F6B">
              <w:t>DCC</w:t>
            </w:r>
            <w:r>
              <w:t>, DWC, and other</w:t>
            </w:r>
          </w:p>
        </w:tc>
        <w:tc>
          <w:tcPr>
            <w:tcW w:w="494" w:type="dxa"/>
            <w:vAlign w:val="center"/>
          </w:tcPr>
          <w:p w14:paraId="1D28EA76" w14:textId="77777777" w:rsidR="0022212C" w:rsidRDefault="0022212C" w:rsidP="005C7CAD">
            <w:pPr>
              <w:jc w:val="center"/>
            </w:pPr>
          </w:p>
        </w:tc>
        <w:tc>
          <w:tcPr>
            <w:tcW w:w="494" w:type="dxa"/>
            <w:shd w:val="clear" w:color="auto" w:fill="BFBFBF" w:themeFill="background1" w:themeFillShade="BF"/>
            <w:vAlign w:val="center"/>
          </w:tcPr>
          <w:p w14:paraId="45B768C4" w14:textId="77777777" w:rsidR="0022212C" w:rsidRDefault="0022212C" w:rsidP="005C7CAD">
            <w:pPr>
              <w:jc w:val="center"/>
            </w:pPr>
          </w:p>
        </w:tc>
        <w:tc>
          <w:tcPr>
            <w:tcW w:w="494" w:type="dxa"/>
            <w:shd w:val="clear" w:color="auto" w:fill="BFBFBF" w:themeFill="background1" w:themeFillShade="BF"/>
            <w:vAlign w:val="center"/>
          </w:tcPr>
          <w:p w14:paraId="283AEE03" w14:textId="77777777" w:rsidR="0022212C" w:rsidRDefault="0022212C" w:rsidP="005C7CAD">
            <w:pPr>
              <w:jc w:val="center"/>
            </w:pPr>
          </w:p>
        </w:tc>
        <w:tc>
          <w:tcPr>
            <w:tcW w:w="494" w:type="dxa"/>
            <w:shd w:val="clear" w:color="auto" w:fill="FFFFFF" w:themeFill="background1"/>
            <w:vAlign w:val="center"/>
          </w:tcPr>
          <w:p w14:paraId="77C9B583" w14:textId="77777777" w:rsidR="0022212C" w:rsidRDefault="0022212C" w:rsidP="005C7CAD">
            <w:pPr>
              <w:jc w:val="center"/>
            </w:pPr>
          </w:p>
        </w:tc>
        <w:tc>
          <w:tcPr>
            <w:tcW w:w="494" w:type="dxa"/>
            <w:vAlign w:val="center"/>
          </w:tcPr>
          <w:p w14:paraId="10456D49" w14:textId="77777777" w:rsidR="0022212C" w:rsidRDefault="0022212C" w:rsidP="005C7CAD">
            <w:pPr>
              <w:jc w:val="center"/>
            </w:pPr>
          </w:p>
        </w:tc>
        <w:tc>
          <w:tcPr>
            <w:tcW w:w="494" w:type="dxa"/>
            <w:vAlign w:val="center"/>
          </w:tcPr>
          <w:p w14:paraId="527E4563" w14:textId="77777777" w:rsidR="0022212C" w:rsidRDefault="0022212C" w:rsidP="005C7CAD">
            <w:pPr>
              <w:jc w:val="center"/>
            </w:pPr>
          </w:p>
        </w:tc>
        <w:tc>
          <w:tcPr>
            <w:tcW w:w="494" w:type="dxa"/>
            <w:vAlign w:val="center"/>
          </w:tcPr>
          <w:p w14:paraId="5138C5D3" w14:textId="77777777" w:rsidR="0022212C" w:rsidRDefault="0022212C" w:rsidP="005C7CAD">
            <w:pPr>
              <w:jc w:val="center"/>
            </w:pPr>
          </w:p>
        </w:tc>
      </w:tr>
      <w:tr w:rsidR="0022212C" w14:paraId="639C2F94" w14:textId="77777777" w:rsidTr="0022212C">
        <w:tc>
          <w:tcPr>
            <w:tcW w:w="2014" w:type="dxa"/>
            <w:vMerge w:val="restart"/>
            <w:vAlign w:val="center"/>
          </w:tcPr>
          <w:p w14:paraId="3DDBBB4A" w14:textId="77777777" w:rsidR="0022212C" w:rsidRDefault="0022212C" w:rsidP="00DD03B4">
            <w:r>
              <w:t>Submission of budgetary estimates</w:t>
            </w:r>
          </w:p>
        </w:tc>
        <w:tc>
          <w:tcPr>
            <w:tcW w:w="2039" w:type="dxa"/>
            <w:vAlign w:val="center"/>
          </w:tcPr>
          <w:p w14:paraId="31ACED36" w14:textId="77777777" w:rsidR="0022212C" w:rsidRDefault="0022212C" w:rsidP="00030005">
            <w:r>
              <w:t>Preparing work plans of the projects</w:t>
            </w:r>
          </w:p>
        </w:tc>
        <w:tc>
          <w:tcPr>
            <w:tcW w:w="1506" w:type="dxa"/>
            <w:vAlign w:val="center"/>
          </w:tcPr>
          <w:p w14:paraId="5214F699" w14:textId="77777777" w:rsidR="0022212C" w:rsidRDefault="0022212C" w:rsidP="00DD03B4">
            <w:r w:rsidRPr="00E15F6B">
              <w:t>FD, DCC, DWC, and other</w:t>
            </w:r>
          </w:p>
        </w:tc>
        <w:tc>
          <w:tcPr>
            <w:tcW w:w="494" w:type="dxa"/>
            <w:vAlign w:val="center"/>
          </w:tcPr>
          <w:p w14:paraId="09453E73" w14:textId="77777777" w:rsidR="0022212C" w:rsidRDefault="0022212C" w:rsidP="005C7CAD">
            <w:pPr>
              <w:jc w:val="center"/>
            </w:pPr>
          </w:p>
        </w:tc>
        <w:tc>
          <w:tcPr>
            <w:tcW w:w="494" w:type="dxa"/>
            <w:vAlign w:val="center"/>
          </w:tcPr>
          <w:p w14:paraId="407986B6" w14:textId="77777777" w:rsidR="0022212C" w:rsidRDefault="0022212C" w:rsidP="005C7CAD">
            <w:pPr>
              <w:jc w:val="center"/>
            </w:pPr>
          </w:p>
        </w:tc>
        <w:tc>
          <w:tcPr>
            <w:tcW w:w="494" w:type="dxa"/>
            <w:shd w:val="clear" w:color="auto" w:fill="BFBFBF" w:themeFill="background1" w:themeFillShade="BF"/>
            <w:vAlign w:val="center"/>
          </w:tcPr>
          <w:p w14:paraId="1131D228" w14:textId="77777777" w:rsidR="0022212C" w:rsidRDefault="0022212C" w:rsidP="005C7CAD">
            <w:pPr>
              <w:jc w:val="center"/>
            </w:pPr>
          </w:p>
        </w:tc>
        <w:tc>
          <w:tcPr>
            <w:tcW w:w="494" w:type="dxa"/>
            <w:vAlign w:val="center"/>
          </w:tcPr>
          <w:p w14:paraId="3F57FA6F" w14:textId="77777777" w:rsidR="0022212C" w:rsidRDefault="0022212C" w:rsidP="005C7CAD">
            <w:pPr>
              <w:jc w:val="center"/>
            </w:pPr>
          </w:p>
        </w:tc>
        <w:tc>
          <w:tcPr>
            <w:tcW w:w="494" w:type="dxa"/>
            <w:vAlign w:val="center"/>
          </w:tcPr>
          <w:p w14:paraId="2D2F4D1E" w14:textId="77777777" w:rsidR="0022212C" w:rsidRDefault="0022212C" w:rsidP="005C7CAD">
            <w:pPr>
              <w:jc w:val="center"/>
            </w:pPr>
          </w:p>
        </w:tc>
        <w:tc>
          <w:tcPr>
            <w:tcW w:w="494" w:type="dxa"/>
            <w:vAlign w:val="center"/>
          </w:tcPr>
          <w:p w14:paraId="0AAE34BE" w14:textId="77777777" w:rsidR="0022212C" w:rsidRDefault="0022212C" w:rsidP="005C7CAD">
            <w:pPr>
              <w:jc w:val="center"/>
            </w:pPr>
          </w:p>
        </w:tc>
        <w:tc>
          <w:tcPr>
            <w:tcW w:w="494" w:type="dxa"/>
            <w:vAlign w:val="center"/>
          </w:tcPr>
          <w:p w14:paraId="582A2361" w14:textId="77777777" w:rsidR="0022212C" w:rsidRDefault="0022212C" w:rsidP="005C7CAD">
            <w:pPr>
              <w:jc w:val="center"/>
            </w:pPr>
          </w:p>
        </w:tc>
      </w:tr>
      <w:tr w:rsidR="0022212C" w14:paraId="6FA6BE4B" w14:textId="77777777" w:rsidTr="0022212C">
        <w:tc>
          <w:tcPr>
            <w:tcW w:w="2014" w:type="dxa"/>
            <w:vMerge/>
            <w:vAlign w:val="center"/>
          </w:tcPr>
          <w:p w14:paraId="79DA3DD1" w14:textId="77777777" w:rsidR="0022212C" w:rsidRDefault="0022212C" w:rsidP="00DD03B4"/>
        </w:tc>
        <w:tc>
          <w:tcPr>
            <w:tcW w:w="2039" w:type="dxa"/>
            <w:vAlign w:val="center"/>
          </w:tcPr>
          <w:p w14:paraId="44828133" w14:textId="77777777" w:rsidR="0022212C" w:rsidRDefault="0022212C" w:rsidP="00DD03B4">
            <w:r>
              <w:t>Preparing budgetary estimates</w:t>
            </w:r>
          </w:p>
        </w:tc>
        <w:tc>
          <w:tcPr>
            <w:tcW w:w="1506" w:type="dxa"/>
            <w:vAlign w:val="center"/>
          </w:tcPr>
          <w:p w14:paraId="5DA3482F" w14:textId="77777777" w:rsidR="0022212C" w:rsidRDefault="0022212C" w:rsidP="00DD03B4">
            <w:r w:rsidRPr="00E15F6B">
              <w:t>FD, DCC, DWC, and other</w:t>
            </w:r>
          </w:p>
        </w:tc>
        <w:tc>
          <w:tcPr>
            <w:tcW w:w="494" w:type="dxa"/>
            <w:vAlign w:val="center"/>
          </w:tcPr>
          <w:p w14:paraId="5C1517ED" w14:textId="77777777" w:rsidR="0022212C" w:rsidRDefault="0022212C" w:rsidP="005C7CAD">
            <w:pPr>
              <w:jc w:val="center"/>
            </w:pPr>
          </w:p>
        </w:tc>
        <w:tc>
          <w:tcPr>
            <w:tcW w:w="494" w:type="dxa"/>
            <w:vAlign w:val="center"/>
          </w:tcPr>
          <w:p w14:paraId="3043CBAC" w14:textId="77777777" w:rsidR="0022212C" w:rsidRDefault="0022212C" w:rsidP="005C7CAD">
            <w:pPr>
              <w:jc w:val="center"/>
            </w:pPr>
          </w:p>
        </w:tc>
        <w:tc>
          <w:tcPr>
            <w:tcW w:w="494" w:type="dxa"/>
            <w:shd w:val="clear" w:color="auto" w:fill="BFBFBF" w:themeFill="background1" w:themeFillShade="BF"/>
            <w:vAlign w:val="center"/>
          </w:tcPr>
          <w:p w14:paraId="33E94087" w14:textId="77777777" w:rsidR="0022212C" w:rsidRDefault="0022212C" w:rsidP="005C7CAD">
            <w:pPr>
              <w:jc w:val="center"/>
            </w:pPr>
          </w:p>
        </w:tc>
        <w:tc>
          <w:tcPr>
            <w:tcW w:w="494" w:type="dxa"/>
            <w:vAlign w:val="center"/>
          </w:tcPr>
          <w:p w14:paraId="165D59FB" w14:textId="77777777" w:rsidR="0022212C" w:rsidRDefault="0022212C" w:rsidP="005C7CAD">
            <w:pPr>
              <w:jc w:val="center"/>
            </w:pPr>
          </w:p>
        </w:tc>
        <w:tc>
          <w:tcPr>
            <w:tcW w:w="494" w:type="dxa"/>
            <w:vAlign w:val="center"/>
          </w:tcPr>
          <w:p w14:paraId="1651AAFB" w14:textId="77777777" w:rsidR="0022212C" w:rsidRDefault="0022212C" w:rsidP="005C7CAD">
            <w:pPr>
              <w:jc w:val="center"/>
            </w:pPr>
          </w:p>
        </w:tc>
        <w:tc>
          <w:tcPr>
            <w:tcW w:w="494" w:type="dxa"/>
            <w:vAlign w:val="center"/>
          </w:tcPr>
          <w:p w14:paraId="56192CE2" w14:textId="77777777" w:rsidR="0022212C" w:rsidRDefault="0022212C" w:rsidP="005C7CAD">
            <w:pPr>
              <w:jc w:val="center"/>
            </w:pPr>
          </w:p>
        </w:tc>
        <w:tc>
          <w:tcPr>
            <w:tcW w:w="494" w:type="dxa"/>
            <w:vAlign w:val="center"/>
          </w:tcPr>
          <w:p w14:paraId="1EDBC1CE" w14:textId="77777777" w:rsidR="0022212C" w:rsidRDefault="0022212C" w:rsidP="005C7CAD">
            <w:pPr>
              <w:jc w:val="center"/>
            </w:pPr>
          </w:p>
        </w:tc>
      </w:tr>
      <w:tr w:rsidR="0022212C" w14:paraId="11D46306" w14:textId="77777777" w:rsidTr="0022212C">
        <w:tc>
          <w:tcPr>
            <w:tcW w:w="2014" w:type="dxa"/>
            <w:vMerge/>
            <w:vAlign w:val="center"/>
          </w:tcPr>
          <w:p w14:paraId="6ADF47DE" w14:textId="77777777" w:rsidR="0022212C" w:rsidRDefault="0022212C" w:rsidP="00DD03B4"/>
        </w:tc>
        <w:tc>
          <w:tcPr>
            <w:tcW w:w="2039" w:type="dxa"/>
            <w:vAlign w:val="center"/>
          </w:tcPr>
          <w:p w14:paraId="12D4FCF9" w14:textId="77777777" w:rsidR="0022212C" w:rsidRDefault="0022212C" w:rsidP="00030005">
            <w:r>
              <w:t>Submission of the budgetary estimates to the Ministry of Finance</w:t>
            </w:r>
          </w:p>
        </w:tc>
        <w:tc>
          <w:tcPr>
            <w:tcW w:w="1506" w:type="dxa"/>
            <w:vAlign w:val="center"/>
          </w:tcPr>
          <w:p w14:paraId="0FF99089" w14:textId="77777777" w:rsidR="0022212C" w:rsidRDefault="0022212C" w:rsidP="00DD03B4">
            <w:r w:rsidRPr="00E15F6B">
              <w:t>FD, DCC, DWC, and other</w:t>
            </w:r>
          </w:p>
        </w:tc>
        <w:tc>
          <w:tcPr>
            <w:tcW w:w="494" w:type="dxa"/>
            <w:vAlign w:val="center"/>
          </w:tcPr>
          <w:p w14:paraId="742A9475" w14:textId="77777777" w:rsidR="0022212C" w:rsidRDefault="0022212C" w:rsidP="005C7CAD">
            <w:pPr>
              <w:jc w:val="center"/>
            </w:pPr>
          </w:p>
        </w:tc>
        <w:tc>
          <w:tcPr>
            <w:tcW w:w="494" w:type="dxa"/>
            <w:vAlign w:val="center"/>
          </w:tcPr>
          <w:p w14:paraId="208E51A7" w14:textId="77777777" w:rsidR="0022212C" w:rsidRDefault="0022212C" w:rsidP="005C7CAD">
            <w:pPr>
              <w:jc w:val="center"/>
            </w:pPr>
          </w:p>
        </w:tc>
        <w:tc>
          <w:tcPr>
            <w:tcW w:w="494" w:type="dxa"/>
            <w:shd w:val="clear" w:color="auto" w:fill="BFBFBF" w:themeFill="background1" w:themeFillShade="BF"/>
            <w:vAlign w:val="center"/>
          </w:tcPr>
          <w:p w14:paraId="0EDF44F8" w14:textId="77777777" w:rsidR="0022212C" w:rsidRDefault="0022212C" w:rsidP="005C7CAD">
            <w:pPr>
              <w:jc w:val="center"/>
            </w:pPr>
          </w:p>
        </w:tc>
        <w:tc>
          <w:tcPr>
            <w:tcW w:w="494" w:type="dxa"/>
            <w:vAlign w:val="center"/>
          </w:tcPr>
          <w:p w14:paraId="266594A5" w14:textId="77777777" w:rsidR="0022212C" w:rsidRDefault="0022212C" w:rsidP="005C7CAD">
            <w:pPr>
              <w:jc w:val="center"/>
            </w:pPr>
          </w:p>
        </w:tc>
        <w:tc>
          <w:tcPr>
            <w:tcW w:w="494" w:type="dxa"/>
            <w:vAlign w:val="center"/>
          </w:tcPr>
          <w:p w14:paraId="22043A69" w14:textId="77777777" w:rsidR="0022212C" w:rsidRDefault="0022212C" w:rsidP="005C7CAD">
            <w:pPr>
              <w:jc w:val="center"/>
            </w:pPr>
          </w:p>
        </w:tc>
        <w:tc>
          <w:tcPr>
            <w:tcW w:w="494" w:type="dxa"/>
            <w:vAlign w:val="center"/>
          </w:tcPr>
          <w:p w14:paraId="17419807" w14:textId="77777777" w:rsidR="0022212C" w:rsidRDefault="0022212C" w:rsidP="005C7CAD">
            <w:pPr>
              <w:jc w:val="center"/>
            </w:pPr>
          </w:p>
        </w:tc>
        <w:tc>
          <w:tcPr>
            <w:tcW w:w="494" w:type="dxa"/>
            <w:vAlign w:val="center"/>
          </w:tcPr>
          <w:p w14:paraId="4A71FBC4" w14:textId="77777777" w:rsidR="0022212C" w:rsidRDefault="0022212C" w:rsidP="005C7CAD">
            <w:pPr>
              <w:jc w:val="center"/>
            </w:pPr>
          </w:p>
        </w:tc>
      </w:tr>
      <w:tr w:rsidR="0022212C" w14:paraId="27A5C39D" w14:textId="77777777" w:rsidTr="00B65665">
        <w:tc>
          <w:tcPr>
            <w:tcW w:w="2014" w:type="dxa"/>
            <w:vMerge w:val="restart"/>
            <w:vAlign w:val="center"/>
          </w:tcPr>
          <w:p w14:paraId="1BE7A856" w14:textId="77777777" w:rsidR="0022212C" w:rsidRDefault="0022212C" w:rsidP="00DD03B4">
            <w:r>
              <w:t>Implementation, Monitoring and evaluation</w:t>
            </w:r>
          </w:p>
        </w:tc>
        <w:tc>
          <w:tcPr>
            <w:tcW w:w="2039" w:type="dxa"/>
            <w:vAlign w:val="center"/>
          </w:tcPr>
          <w:p w14:paraId="2131A5D7" w14:textId="77777777" w:rsidR="0022212C" w:rsidRDefault="0022212C" w:rsidP="00DD03B4">
            <w:r>
              <w:t>Implementation of approved projects</w:t>
            </w:r>
          </w:p>
        </w:tc>
        <w:tc>
          <w:tcPr>
            <w:tcW w:w="1506" w:type="dxa"/>
            <w:vAlign w:val="center"/>
          </w:tcPr>
          <w:p w14:paraId="08B3DE3C" w14:textId="77777777" w:rsidR="0022212C" w:rsidRDefault="0022212C" w:rsidP="00DD03B4">
            <w:r w:rsidRPr="00E15F6B">
              <w:t>FD, DCC, DWC, and other</w:t>
            </w:r>
          </w:p>
        </w:tc>
        <w:tc>
          <w:tcPr>
            <w:tcW w:w="494" w:type="dxa"/>
            <w:vAlign w:val="center"/>
          </w:tcPr>
          <w:p w14:paraId="77614EF4" w14:textId="77777777" w:rsidR="0022212C" w:rsidRDefault="0022212C" w:rsidP="005C7CAD">
            <w:pPr>
              <w:jc w:val="center"/>
            </w:pPr>
          </w:p>
        </w:tc>
        <w:tc>
          <w:tcPr>
            <w:tcW w:w="494" w:type="dxa"/>
            <w:vAlign w:val="center"/>
          </w:tcPr>
          <w:p w14:paraId="6B1ED874" w14:textId="77777777" w:rsidR="0022212C" w:rsidRDefault="0022212C" w:rsidP="005C7CAD">
            <w:pPr>
              <w:jc w:val="center"/>
            </w:pPr>
          </w:p>
        </w:tc>
        <w:tc>
          <w:tcPr>
            <w:tcW w:w="494" w:type="dxa"/>
            <w:vAlign w:val="center"/>
          </w:tcPr>
          <w:p w14:paraId="1962D70C" w14:textId="77777777" w:rsidR="0022212C" w:rsidRDefault="0022212C" w:rsidP="005C7CAD">
            <w:pPr>
              <w:jc w:val="center"/>
            </w:pPr>
          </w:p>
        </w:tc>
        <w:tc>
          <w:tcPr>
            <w:tcW w:w="494" w:type="dxa"/>
            <w:shd w:val="clear" w:color="auto" w:fill="BFBFBF" w:themeFill="background1" w:themeFillShade="BF"/>
            <w:vAlign w:val="center"/>
          </w:tcPr>
          <w:p w14:paraId="7FE0B967" w14:textId="77777777" w:rsidR="0022212C" w:rsidRDefault="0022212C" w:rsidP="005C7CAD">
            <w:pPr>
              <w:jc w:val="center"/>
            </w:pPr>
          </w:p>
        </w:tc>
        <w:tc>
          <w:tcPr>
            <w:tcW w:w="494" w:type="dxa"/>
            <w:shd w:val="clear" w:color="auto" w:fill="auto"/>
            <w:vAlign w:val="center"/>
          </w:tcPr>
          <w:p w14:paraId="6B35A0A6" w14:textId="77777777" w:rsidR="0022212C" w:rsidRDefault="0022212C" w:rsidP="005C7CAD">
            <w:pPr>
              <w:jc w:val="center"/>
            </w:pPr>
          </w:p>
        </w:tc>
        <w:tc>
          <w:tcPr>
            <w:tcW w:w="494" w:type="dxa"/>
            <w:shd w:val="clear" w:color="auto" w:fill="auto"/>
            <w:vAlign w:val="center"/>
          </w:tcPr>
          <w:p w14:paraId="0360E071" w14:textId="77777777" w:rsidR="0022212C" w:rsidRDefault="0022212C" w:rsidP="005C7CAD">
            <w:pPr>
              <w:jc w:val="center"/>
            </w:pPr>
          </w:p>
        </w:tc>
        <w:tc>
          <w:tcPr>
            <w:tcW w:w="494" w:type="dxa"/>
            <w:shd w:val="clear" w:color="auto" w:fill="auto"/>
            <w:vAlign w:val="center"/>
          </w:tcPr>
          <w:p w14:paraId="368F0453" w14:textId="77777777" w:rsidR="0022212C" w:rsidRDefault="0022212C" w:rsidP="005C7CAD">
            <w:pPr>
              <w:jc w:val="center"/>
            </w:pPr>
          </w:p>
        </w:tc>
      </w:tr>
      <w:tr w:rsidR="0022212C" w14:paraId="2F2ED5DC" w14:textId="77777777" w:rsidTr="00B65665">
        <w:tc>
          <w:tcPr>
            <w:tcW w:w="2014" w:type="dxa"/>
            <w:vMerge/>
            <w:vAlign w:val="center"/>
          </w:tcPr>
          <w:p w14:paraId="1D4E2140" w14:textId="77777777" w:rsidR="0022212C" w:rsidRDefault="0022212C" w:rsidP="00DD03B4"/>
        </w:tc>
        <w:tc>
          <w:tcPr>
            <w:tcW w:w="2039" w:type="dxa"/>
            <w:vAlign w:val="center"/>
          </w:tcPr>
          <w:p w14:paraId="595E451A" w14:textId="77777777" w:rsidR="0022212C" w:rsidRDefault="0022212C" w:rsidP="00DD03B4">
            <w:r>
              <w:t xml:space="preserve">Monitoring an </w:t>
            </w:r>
            <w:proofErr w:type="gramStart"/>
            <w:r>
              <w:t>evaluating activities</w:t>
            </w:r>
            <w:proofErr w:type="gramEnd"/>
          </w:p>
        </w:tc>
        <w:tc>
          <w:tcPr>
            <w:tcW w:w="1506" w:type="dxa"/>
            <w:vAlign w:val="center"/>
          </w:tcPr>
          <w:p w14:paraId="108DE0C6" w14:textId="77777777" w:rsidR="0022212C" w:rsidRDefault="0022212C" w:rsidP="00DD03B4">
            <w:r w:rsidRPr="00E15F6B">
              <w:t>FD, DCC, DWC, and other</w:t>
            </w:r>
          </w:p>
        </w:tc>
        <w:tc>
          <w:tcPr>
            <w:tcW w:w="494" w:type="dxa"/>
            <w:vAlign w:val="center"/>
          </w:tcPr>
          <w:p w14:paraId="2DF4B5BE" w14:textId="77777777" w:rsidR="0022212C" w:rsidRDefault="0022212C" w:rsidP="005C7CAD">
            <w:pPr>
              <w:jc w:val="center"/>
            </w:pPr>
          </w:p>
        </w:tc>
        <w:tc>
          <w:tcPr>
            <w:tcW w:w="494" w:type="dxa"/>
            <w:vAlign w:val="center"/>
          </w:tcPr>
          <w:p w14:paraId="1FECFB23" w14:textId="77777777" w:rsidR="0022212C" w:rsidRDefault="0022212C" w:rsidP="005C7CAD">
            <w:pPr>
              <w:jc w:val="center"/>
            </w:pPr>
          </w:p>
        </w:tc>
        <w:tc>
          <w:tcPr>
            <w:tcW w:w="494" w:type="dxa"/>
            <w:vAlign w:val="center"/>
          </w:tcPr>
          <w:p w14:paraId="616B41A2" w14:textId="77777777" w:rsidR="0022212C" w:rsidRDefault="0022212C" w:rsidP="005C7CAD">
            <w:pPr>
              <w:jc w:val="center"/>
            </w:pPr>
          </w:p>
        </w:tc>
        <w:tc>
          <w:tcPr>
            <w:tcW w:w="494" w:type="dxa"/>
            <w:shd w:val="clear" w:color="auto" w:fill="BFBFBF" w:themeFill="background1" w:themeFillShade="BF"/>
            <w:vAlign w:val="center"/>
          </w:tcPr>
          <w:p w14:paraId="6AC1CE79" w14:textId="77777777" w:rsidR="0022212C" w:rsidRDefault="0022212C" w:rsidP="005C7CAD">
            <w:pPr>
              <w:jc w:val="center"/>
            </w:pPr>
          </w:p>
        </w:tc>
        <w:tc>
          <w:tcPr>
            <w:tcW w:w="494" w:type="dxa"/>
            <w:shd w:val="clear" w:color="auto" w:fill="auto"/>
            <w:vAlign w:val="center"/>
          </w:tcPr>
          <w:p w14:paraId="281AE401" w14:textId="77777777" w:rsidR="0022212C" w:rsidRDefault="0022212C" w:rsidP="005C7CAD">
            <w:pPr>
              <w:jc w:val="center"/>
            </w:pPr>
          </w:p>
        </w:tc>
        <w:tc>
          <w:tcPr>
            <w:tcW w:w="494" w:type="dxa"/>
            <w:shd w:val="clear" w:color="auto" w:fill="auto"/>
            <w:vAlign w:val="center"/>
          </w:tcPr>
          <w:p w14:paraId="2AA9D15B" w14:textId="77777777" w:rsidR="0022212C" w:rsidRDefault="0022212C" w:rsidP="005C7CAD">
            <w:pPr>
              <w:jc w:val="center"/>
            </w:pPr>
          </w:p>
        </w:tc>
        <w:tc>
          <w:tcPr>
            <w:tcW w:w="494" w:type="dxa"/>
            <w:shd w:val="clear" w:color="auto" w:fill="auto"/>
            <w:vAlign w:val="center"/>
          </w:tcPr>
          <w:p w14:paraId="4FD1657A" w14:textId="77777777" w:rsidR="0022212C" w:rsidRDefault="0022212C" w:rsidP="005C7CAD">
            <w:pPr>
              <w:jc w:val="center"/>
            </w:pPr>
          </w:p>
        </w:tc>
      </w:tr>
      <w:tr w:rsidR="005A6A02" w14:paraId="4495AAB3" w14:textId="77777777" w:rsidTr="005A6A02">
        <w:tc>
          <w:tcPr>
            <w:tcW w:w="2014" w:type="dxa"/>
            <w:vAlign w:val="center"/>
          </w:tcPr>
          <w:p w14:paraId="32CF18E9" w14:textId="77777777" w:rsidR="005A6A02" w:rsidRDefault="005A6A02" w:rsidP="00DD03B4">
            <w:r>
              <w:t>Budget</w:t>
            </w:r>
          </w:p>
        </w:tc>
        <w:tc>
          <w:tcPr>
            <w:tcW w:w="7003" w:type="dxa"/>
            <w:gridSpan w:val="9"/>
            <w:vAlign w:val="center"/>
          </w:tcPr>
          <w:p w14:paraId="4DFB8121" w14:textId="77777777" w:rsidR="005A6A02" w:rsidRDefault="00B65665" w:rsidP="005A6A02">
            <w:r>
              <w:t>US$ 40</w:t>
            </w:r>
            <w:r w:rsidR="005A6A02">
              <w:t>,000</w:t>
            </w:r>
          </w:p>
        </w:tc>
      </w:tr>
      <w:tr w:rsidR="005A6A02" w14:paraId="022EFCD0" w14:textId="77777777" w:rsidTr="005A6A02">
        <w:tc>
          <w:tcPr>
            <w:tcW w:w="2014" w:type="dxa"/>
            <w:vAlign w:val="center"/>
          </w:tcPr>
          <w:p w14:paraId="3CC27B74" w14:textId="77777777" w:rsidR="005A6A02" w:rsidRDefault="0011293D" w:rsidP="00DD03B4">
            <w:r>
              <w:t>Financial result</w:t>
            </w:r>
          </w:p>
        </w:tc>
        <w:tc>
          <w:tcPr>
            <w:tcW w:w="7003" w:type="dxa"/>
            <w:gridSpan w:val="9"/>
            <w:vAlign w:val="center"/>
          </w:tcPr>
          <w:p w14:paraId="23F80BD9" w14:textId="77777777" w:rsidR="005A6A02" w:rsidRDefault="0011293D" w:rsidP="00D818FC">
            <w:r>
              <w:t xml:space="preserve">US$ 18 million </w:t>
            </w:r>
            <w:r w:rsidR="00855CFE">
              <w:t xml:space="preserve">per annum </w:t>
            </w:r>
            <w:r>
              <w:t>(an increase in budgetary allocation from current 0.3% of government spending to 0.4% requires an increase in LKR 3 billion</w:t>
            </w:r>
            <w:r w:rsidR="00855CFE">
              <w:t>)</w:t>
            </w:r>
          </w:p>
          <w:p w14:paraId="0C06F699" w14:textId="3A78B7EA" w:rsidR="00F63F9E" w:rsidRDefault="00F63F9E" w:rsidP="00DF72F5">
            <w:r>
              <w:t xml:space="preserve">Here we assume that the </w:t>
            </w:r>
            <w:proofErr w:type="gramStart"/>
            <w:r>
              <w:t>long term</w:t>
            </w:r>
            <w:proofErr w:type="gramEnd"/>
            <w:r>
              <w:t xml:space="preserve"> goal is to maintain 0.4% of gov</w:t>
            </w:r>
            <w:r w:rsidR="00DF72F5">
              <w:t>ernment</w:t>
            </w:r>
            <w:r>
              <w:t xml:space="preserve"> spending.</w:t>
            </w:r>
          </w:p>
        </w:tc>
      </w:tr>
      <w:tr w:rsidR="00861575" w14:paraId="22C79FD1" w14:textId="77777777" w:rsidTr="005A6A02">
        <w:tc>
          <w:tcPr>
            <w:tcW w:w="2014" w:type="dxa"/>
            <w:vAlign w:val="center"/>
          </w:tcPr>
          <w:p w14:paraId="5FA57800" w14:textId="77777777" w:rsidR="00861575" w:rsidRDefault="00861575" w:rsidP="00DD03B4">
            <w:r>
              <w:t>Note</w:t>
            </w:r>
          </w:p>
        </w:tc>
        <w:tc>
          <w:tcPr>
            <w:tcW w:w="7003" w:type="dxa"/>
            <w:gridSpan w:val="9"/>
            <w:vAlign w:val="center"/>
          </w:tcPr>
          <w:p w14:paraId="69F979EE" w14:textId="77777777" w:rsidR="00861575" w:rsidRDefault="00861575" w:rsidP="00861575">
            <w:r>
              <w:t xml:space="preserve">Other agencies refer basically to the agencies listed in the national biodiversity plans: </w:t>
            </w:r>
            <w:r w:rsidRPr="00861575">
              <w:t>NBSAP (2016 - 2022, redefined as 2018 - 2024), NRIFAP (2018 - 2022), NAP-CLD (2015 - 2024), NAP-CCI (2016 - 2025)</w:t>
            </w:r>
          </w:p>
        </w:tc>
      </w:tr>
    </w:tbl>
    <w:p w14:paraId="5F4ACE2B" w14:textId="77777777" w:rsidR="00DD03B4" w:rsidRDefault="00DD03B4" w:rsidP="00BB5D98">
      <w:pPr>
        <w:jc w:val="both"/>
      </w:pPr>
    </w:p>
    <w:p w14:paraId="53D43F21" w14:textId="77777777" w:rsidR="00EA3152" w:rsidRDefault="00EA3152" w:rsidP="00BB5D98">
      <w:pPr>
        <w:jc w:val="both"/>
      </w:pPr>
    </w:p>
    <w:p w14:paraId="1086CA54" w14:textId="77777777" w:rsidR="005C7CAD" w:rsidRPr="00A3580A" w:rsidRDefault="009F18AC" w:rsidP="008D23E4">
      <w:pPr>
        <w:pStyle w:val="Heading4"/>
      </w:pPr>
      <w:r w:rsidRPr="00A3580A">
        <w:t>1</w:t>
      </w:r>
      <w:r w:rsidR="00766D93">
        <w:t>2</w:t>
      </w:r>
      <w:r w:rsidRPr="00A3580A">
        <w:t>. Diaspora Financing and investment</w:t>
      </w:r>
      <w:r w:rsidR="00F06280" w:rsidRPr="00A3580A">
        <w:t xml:space="preserve">: mobilization of foreign private remittances </w:t>
      </w:r>
    </w:p>
    <w:p w14:paraId="1E0CBD3A" w14:textId="77777777" w:rsidR="009F18AC" w:rsidRDefault="00F06280" w:rsidP="00BB5D98">
      <w:pPr>
        <w:jc w:val="both"/>
      </w:pPr>
      <w:r>
        <w:t>The proposal is to m</w:t>
      </w:r>
      <w:r w:rsidRPr="00F06280">
        <w:t>obiliz</w:t>
      </w:r>
      <w:r>
        <w:t>e</w:t>
      </w:r>
      <w:r w:rsidRPr="00F06280">
        <w:t xml:space="preserve"> international finance through voluntary savings and investment from the Sri Lankan expatriate community and the migrant workforce</w:t>
      </w:r>
      <w:r>
        <w:t>.</w:t>
      </w:r>
    </w:p>
    <w:p w14:paraId="69C42333" w14:textId="77777777" w:rsidR="00FE530A" w:rsidRDefault="00FE530A" w:rsidP="00BB5D98">
      <w:pPr>
        <w:jc w:val="both"/>
      </w:pPr>
      <w:r>
        <w:t>Objective</w:t>
      </w:r>
    </w:p>
    <w:p w14:paraId="24874028" w14:textId="77777777" w:rsidR="00FE530A" w:rsidRDefault="00FE530A" w:rsidP="00BB5D98">
      <w:pPr>
        <w:jc w:val="both"/>
      </w:pPr>
      <w:r>
        <w:t>To raise international finance from private remittance flows for investing in biodiversity.</w:t>
      </w:r>
    </w:p>
    <w:p w14:paraId="73B51632" w14:textId="77777777" w:rsidR="00F06280" w:rsidRDefault="00F06280" w:rsidP="00BB5D98">
      <w:pPr>
        <w:jc w:val="both"/>
      </w:pPr>
      <w:r>
        <w:t>Description</w:t>
      </w:r>
    </w:p>
    <w:p w14:paraId="052169F0" w14:textId="77777777" w:rsidR="00F06280" w:rsidRDefault="00F06280" w:rsidP="00F06280">
      <w:pPr>
        <w:jc w:val="both"/>
      </w:pPr>
      <w:r>
        <w:t>The finance solution is proposed for implementation in collaboration with commercial banks and savings banks</w:t>
      </w:r>
      <w:r w:rsidR="00274C14">
        <w:t xml:space="preserve"> for the purpose of generating finances for investing in biodiversity</w:t>
      </w:r>
      <w:r>
        <w:t>. The proposal is expected to be of high potential for mobilizing finance at significantly low implementation cost.</w:t>
      </w:r>
    </w:p>
    <w:p w14:paraId="6DE9D3B5" w14:textId="77777777" w:rsidR="00F06280" w:rsidRDefault="00F06280" w:rsidP="00F06280">
      <w:pPr>
        <w:jc w:val="both"/>
      </w:pPr>
      <w:r>
        <w:t xml:space="preserve">There are two sources of actual or potential foreign remittances: The first is the Sri Lankan expatriate community living mostly in European and Northern American countries as well as some like Australia and New Zealand. The second is the Sri Lankan migrant workforce employed in the Middle East and some other European and Asian countries. </w:t>
      </w:r>
      <w:r w:rsidR="00DB7BCE">
        <w:t>They generate private remittance flows about</w:t>
      </w:r>
      <w:r>
        <w:t xml:space="preserve"> US$ 7 billion</w:t>
      </w:r>
      <w:r w:rsidR="00DB7BCE">
        <w:t xml:space="preserve"> a year</w:t>
      </w:r>
      <w:r>
        <w:t xml:space="preserve">, which amounts </w:t>
      </w:r>
      <w:r w:rsidR="00DB7BCE">
        <w:t>for</w:t>
      </w:r>
      <w:r>
        <w:t xml:space="preserve"> over 8.5</w:t>
      </w:r>
      <w:r w:rsidR="00DB7BCE">
        <w:t xml:space="preserve"> percent</w:t>
      </w:r>
      <w:r>
        <w:t xml:space="preserve"> of GDP. </w:t>
      </w:r>
    </w:p>
    <w:p w14:paraId="0A8C0A29" w14:textId="77777777" w:rsidR="00B50308" w:rsidRDefault="00F06280" w:rsidP="00F06280">
      <w:pPr>
        <w:jc w:val="both"/>
      </w:pPr>
      <w:r>
        <w:t xml:space="preserve">When remittances are not </w:t>
      </w:r>
      <w:r w:rsidR="00B50308">
        <w:t>diverted</w:t>
      </w:r>
      <w:r>
        <w:t xml:space="preserve"> to immediate </w:t>
      </w:r>
      <w:r w:rsidR="00DB7BCE">
        <w:t>spending</w:t>
      </w:r>
      <w:r>
        <w:t xml:space="preserve"> needs</w:t>
      </w:r>
      <w:r w:rsidR="00DB7BCE">
        <w:t xml:space="preserve"> of the recipient families</w:t>
      </w:r>
      <w:r>
        <w:t xml:space="preserve">, they can be saved or invested </w:t>
      </w:r>
      <w:r w:rsidR="00DB7BCE">
        <w:t>for a specific purpose of biodiversity conservation in Sri Lanka</w:t>
      </w:r>
      <w:r>
        <w:t>. This requires a mechanism which provides a reliable, convenient and attractive savings and investment schemes</w:t>
      </w:r>
      <w:r w:rsidR="00DB7BCE">
        <w:t xml:space="preserve"> and an effective and efficient mechanisms of utilizing the finances for a given purpose</w:t>
      </w:r>
      <w:r>
        <w:t xml:space="preserve">. </w:t>
      </w:r>
      <w:r w:rsidR="00B50308">
        <w:t xml:space="preserve">This could be a new savings product introduced by the commercial or savings banks or an investment product introduced by the government. </w:t>
      </w:r>
    </w:p>
    <w:p w14:paraId="3E6BB772" w14:textId="396E8204" w:rsidR="00F06280" w:rsidRDefault="00F06280" w:rsidP="00F06280">
      <w:pPr>
        <w:jc w:val="both"/>
      </w:pPr>
      <w:r>
        <w:t xml:space="preserve">The remittance that is mobilized through this special scheme of savings and investment can ben be used to finance biodiversity conservation. This purpose is believed to be already an attractive means of remittance utilization for expatriates and migrant employees who acknowledge the value of biodiversity conservation at home country. </w:t>
      </w:r>
    </w:p>
    <w:p w14:paraId="45697172" w14:textId="77777777" w:rsidR="00F06280" w:rsidRDefault="005F32C8" w:rsidP="00BB5D98">
      <w:pPr>
        <w:jc w:val="both"/>
      </w:pPr>
      <w:r>
        <w:t>Business case</w:t>
      </w:r>
    </w:p>
    <w:p w14:paraId="793204DE" w14:textId="77777777" w:rsidR="005F32C8" w:rsidRDefault="005F32C8" w:rsidP="00BB5D98">
      <w:pPr>
        <w:jc w:val="both"/>
      </w:pPr>
      <w:r>
        <w:t xml:space="preserve">The finance solution provides additional means of </w:t>
      </w:r>
      <w:r w:rsidR="008F1769">
        <w:t xml:space="preserve">financing to meet the existing resource gap for investment in biodiversity. Therefore, the proposal is expected to meet the government’s financial need. It is anticipated that the savings and investment scheme for remittance mobilization will be accompanied by additional incentives for savers and investors and, be set apart for </w:t>
      </w:r>
      <w:r w:rsidR="00324052">
        <w:t>the specific purpose of biodiversity projects. Both elements of the scheme are attractive to many representing the expatriate and migrant worker communities. There is potential that the scheme may result in an increase remittance flows to the country as well.</w:t>
      </w:r>
    </w:p>
    <w:p w14:paraId="754D184F" w14:textId="34FF79EC" w:rsidR="00462085" w:rsidRDefault="00462085" w:rsidP="00BB5D98">
      <w:pPr>
        <w:jc w:val="both"/>
      </w:pPr>
      <w:r>
        <w:t xml:space="preserve">The finance solution is expected to be attractive to savers and/or investors from among the </w:t>
      </w:r>
      <w:r w:rsidR="009A3293">
        <w:t>diaspora and migrant workers in two respects, as general and specific: Generally, as a savings or investment scheme, the finance solution carries a rate of return so that savers or investors are expected to choose it among alternative options. With a higher interest premium, it is not advisable to open a flood gate of investment</w:t>
      </w:r>
      <w:r w:rsidR="005D5287">
        <w:t xml:space="preserve"> flows, however, as this is expected to be a credit finance solution.</w:t>
      </w:r>
    </w:p>
    <w:p w14:paraId="47F53484" w14:textId="5DC57EBF" w:rsidR="005D5287" w:rsidRDefault="005D5287" w:rsidP="00BB5D98">
      <w:pPr>
        <w:jc w:val="both"/>
      </w:pPr>
      <w:r>
        <w:t>Specifically, the finance solution has an added value for diaspora and migrant workers who are concern</w:t>
      </w:r>
      <w:r w:rsidR="00F63F9E">
        <w:t>ed</w:t>
      </w:r>
      <w:r>
        <w:t xml:space="preserve"> with </w:t>
      </w:r>
      <w:r w:rsidR="00912B84">
        <w:t>the biodiversity in the home country. According to banking sources, this segment of savers and investors represent an educated and affluent social class who would be interested in financing biodiversity-related activities at home.</w:t>
      </w:r>
    </w:p>
    <w:p w14:paraId="7B7D560F" w14:textId="6C19F5F4" w:rsidR="007F0070" w:rsidRDefault="007F0070" w:rsidP="00BB5D98">
      <w:pPr>
        <w:jc w:val="both"/>
      </w:pPr>
      <w:r>
        <w:t xml:space="preserve">As most of the remittances are transferred through the banking system, it is convenient to offer special savings or investment schemes also through the same banking system in order to mobilize finances for biodiversity conservation. The proposal requires promoting the specific savings or investment schemes over the traditional deposits among the </w:t>
      </w:r>
      <w:proofErr w:type="gramStart"/>
      <w:r>
        <w:t>remittances</w:t>
      </w:r>
      <w:proofErr w:type="gramEnd"/>
      <w:r>
        <w:t xml:space="preserve"> suppliers. Once the funds are generated, it also requires fund management at banks and its utilization for biodiversity conservation.</w:t>
      </w:r>
    </w:p>
    <w:p w14:paraId="3AFD8269" w14:textId="24BE8D3F" w:rsidR="00FA004B" w:rsidRDefault="00FA004B" w:rsidP="00BB5D98">
      <w:pPr>
        <w:jc w:val="both"/>
      </w:pPr>
      <w:r>
        <w:t xml:space="preserve">Investments </w:t>
      </w:r>
      <w:r w:rsidR="005B7042">
        <w:t xml:space="preserve">of the savings should be generating an adequate cash flow to pay back the interest due for the savings. </w:t>
      </w:r>
      <w:proofErr w:type="gramStart"/>
      <w:r w:rsidR="005B7042">
        <w:t>Therefore</w:t>
      </w:r>
      <w:proofErr w:type="gramEnd"/>
      <w:r w:rsidR="005B7042">
        <w:t xml:space="preserve"> it is important to identify viable business ideas, mentor them through a recognized mechanism such as business incubators, creating a niche value proposition are some of the other activities that should be implemented in parallel to introducing </w:t>
      </w:r>
      <w:r w:rsidR="00356245">
        <w:t>this scheme.</w:t>
      </w:r>
      <w:r>
        <w:t xml:space="preserve"> </w:t>
      </w:r>
    </w:p>
    <w:p w14:paraId="0EF1AC6A" w14:textId="77777777" w:rsidR="00324052" w:rsidRDefault="00324052" w:rsidP="00BB5D98">
      <w:pPr>
        <w:jc w:val="both"/>
      </w:pPr>
      <w:r>
        <w:t>Responsibility</w:t>
      </w:r>
    </w:p>
    <w:p w14:paraId="68702A68" w14:textId="77777777" w:rsidR="00324052" w:rsidRDefault="00914204" w:rsidP="00BB5D98">
      <w:pPr>
        <w:jc w:val="both"/>
      </w:pPr>
      <w:r w:rsidRPr="00914204">
        <w:t>The Ministry of Mahaweli Development and Environment (MMDE) and the commercial and savings banks of the country are the main stakeholders of the scheme. The banks can implement the savings and investment schemes, while the MMDE can prepare the groundwork including institutional and legal provisions</w:t>
      </w:r>
      <w:r>
        <w:t>. The MMDE can also</w:t>
      </w:r>
      <w:r w:rsidRPr="00914204">
        <w:t xml:space="preserve"> intervene in the utilization of funds in biodiversity conservation projects</w:t>
      </w:r>
      <w:r>
        <w:t>, but the funds through the proposed scheme may be available for NGOs and private sector organizations as well</w:t>
      </w:r>
      <w:r w:rsidRPr="00914204">
        <w:t>.</w:t>
      </w:r>
      <w:r>
        <w:t xml:space="preserve"> </w:t>
      </w:r>
    </w:p>
    <w:p w14:paraId="3D6B1016" w14:textId="559C85CB" w:rsidR="00750DAB" w:rsidRDefault="00750DAB" w:rsidP="00BB5D98">
      <w:pPr>
        <w:jc w:val="both"/>
      </w:pPr>
      <w:r w:rsidRPr="00750DAB">
        <w:t>It is recommended that the credit financing through the proposal is made available directly to finance identified large-scale biodiversity projects or such projects that are under the purview of the government budget.</w:t>
      </w:r>
    </w:p>
    <w:p w14:paraId="6A1EAC77" w14:textId="7C415886" w:rsidR="009D5946" w:rsidRDefault="009D5946" w:rsidP="00BB5D98">
      <w:pPr>
        <w:jc w:val="both"/>
      </w:pPr>
      <w:r>
        <w:t>Financial result</w:t>
      </w:r>
    </w:p>
    <w:p w14:paraId="74FDBA40" w14:textId="76132E3C" w:rsidR="00ED0DFB" w:rsidRDefault="00ED0DFB" w:rsidP="00ED0DFB">
      <w:pPr>
        <w:jc w:val="both"/>
      </w:pPr>
      <w:r>
        <w:t xml:space="preserve">Current private remittances amount to US$ 7 billion a year. Under the assumption that 1% of the current private remittance is diverted for a new savings and investment scheme, the proposal would generate US$ 70 million a year and, US$ 280 for the period of 2021-2024. This </w:t>
      </w:r>
      <w:proofErr w:type="gramStart"/>
      <w:r>
        <w:t>is considered to be</w:t>
      </w:r>
      <w:proofErr w:type="gramEnd"/>
      <w:r>
        <w:t xml:space="preserve"> an important source of debt financing for investment in biodiversity.</w:t>
      </w:r>
    </w:p>
    <w:p w14:paraId="1C8A12FD" w14:textId="56893318" w:rsidR="00AA66FC" w:rsidRDefault="00AA66FC" w:rsidP="00ED0DFB">
      <w:pPr>
        <w:jc w:val="both"/>
      </w:pPr>
      <w:r>
        <w:t xml:space="preserve">As the finance solution is recommended for large-scale project financing under the purview of the MMDE, the priority </w:t>
      </w:r>
      <w:r w:rsidR="001C473E">
        <w:t>areas</w:t>
      </w:r>
      <w:r>
        <w:t xml:space="preserve"> for biodiversity investment can be decided in such a way that they are aimed at in achieving the</w:t>
      </w:r>
      <w:r w:rsidR="001C473E">
        <w:t xml:space="preserve"> national biodiversity targets as specified in the NBSAP. </w:t>
      </w:r>
    </w:p>
    <w:p w14:paraId="3217D80F" w14:textId="77777777" w:rsidR="005C7CAD" w:rsidRDefault="00914204" w:rsidP="00BB5D98">
      <w:pPr>
        <w:jc w:val="both"/>
      </w:pPr>
      <w:r>
        <w:t>Action plan</w:t>
      </w:r>
    </w:p>
    <w:tbl>
      <w:tblPr>
        <w:tblStyle w:val="TableGrid"/>
        <w:tblW w:w="0" w:type="auto"/>
        <w:tblLook w:val="04A0" w:firstRow="1" w:lastRow="0" w:firstColumn="1" w:lastColumn="0" w:noHBand="0" w:noVBand="1"/>
      </w:tblPr>
      <w:tblGrid>
        <w:gridCol w:w="2014"/>
        <w:gridCol w:w="2039"/>
        <w:gridCol w:w="1506"/>
        <w:gridCol w:w="494"/>
        <w:gridCol w:w="494"/>
        <w:gridCol w:w="494"/>
        <w:gridCol w:w="494"/>
        <w:gridCol w:w="494"/>
        <w:gridCol w:w="494"/>
        <w:gridCol w:w="494"/>
      </w:tblGrid>
      <w:tr w:rsidR="00914204" w14:paraId="51BA3C35" w14:textId="77777777" w:rsidTr="00914204">
        <w:tc>
          <w:tcPr>
            <w:tcW w:w="2014" w:type="dxa"/>
            <w:vMerge w:val="restart"/>
            <w:vAlign w:val="center"/>
          </w:tcPr>
          <w:p w14:paraId="57C89017" w14:textId="77777777" w:rsidR="00914204" w:rsidRPr="00C27851" w:rsidRDefault="00914204" w:rsidP="009177AB">
            <w:pPr>
              <w:jc w:val="center"/>
            </w:pPr>
            <w:r w:rsidRPr="00C27851">
              <w:t>Output</w:t>
            </w:r>
          </w:p>
        </w:tc>
        <w:tc>
          <w:tcPr>
            <w:tcW w:w="2039" w:type="dxa"/>
            <w:vMerge w:val="restart"/>
            <w:vAlign w:val="center"/>
          </w:tcPr>
          <w:p w14:paraId="444C97A0" w14:textId="77777777" w:rsidR="00914204" w:rsidRPr="00C27851" w:rsidRDefault="00914204" w:rsidP="009177AB">
            <w:pPr>
              <w:jc w:val="center"/>
            </w:pPr>
            <w:r w:rsidRPr="00C27851">
              <w:t>Main activities</w:t>
            </w:r>
          </w:p>
        </w:tc>
        <w:tc>
          <w:tcPr>
            <w:tcW w:w="1506" w:type="dxa"/>
            <w:vMerge w:val="restart"/>
            <w:vAlign w:val="center"/>
          </w:tcPr>
          <w:p w14:paraId="4961A3B9" w14:textId="77777777" w:rsidR="00914204" w:rsidRPr="00C27851" w:rsidRDefault="00914204" w:rsidP="009177AB">
            <w:pPr>
              <w:jc w:val="center"/>
            </w:pPr>
            <w:r w:rsidRPr="00C27851">
              <w:t>Responsibility</w:t>
            </w:r>
          </w:p>
        </w:tc>
        <w:tc>
          <w:tcPr>
            <w:tcW w:w="3458" w:type="dxa"/>
            <w:gridSpan w:val="7"/>
            <w:vAlign w:val="center"/>
          </w:tcPr>
          <w:p w14:paraId="41D2DECD" w14:textId="77777777" w:rsidR="00914204" w:rsidRPr="00C27851" w:rsidRDefault="00914204" w:rsidP="009177AB">
            <w:pPr>
              <w:jc w:val="center"/>
            </w:pPr>
            <w:r w:rsidRPr="00C27851">
              <w:t>Year</w:t>
            </w:r>
          </w:p>
        </w:tc>
      </w:tr>
      <w:tr w:rsidR="00914204" w14:paraId="3EBACD07" w14:textId="77777777" w:rsidTr="00914204">
        <w:tc>
          <w:tcPr>
            <w:tcW w:w="2014" w:type="dxa"/>
            <w:vMerge/>
            <w:vAlign w:val="center"/>
          </w:tcPr>
          <w:p w14:paraId="70A4A002" w14:textId="77777777" w:rsidR="00914204" w:rsidRDefault="00914204" w:rsidP="009177AB">
            <w:pPr>
              <w:jc w:val="center"/>
            </w:pPr>
          </w:p>
        </w:tc>
        <w:tc>
          <w:tcPr>
            <w:tcW w:w="2039" w:type="dxa"/>
            <w:vMerge/>
            <w:vAlign w:val="center"/>
          </w:tcPr>
          <w:p w14:paraId="769B55FF" w14:textId="77777777" w:rsidR="00914204" w:rsidRDefault="00914204" w:rsidP="009177AB">
            <w:pPr>
              <w:jc w:val="center"/>
            </w:pPr>
          </w:p>
        </w:tc>
        <w:tc>
          <w:tcPr>
            <w:tcW w:w="1506" w:type="dxa"/>
            <w:vMerge/>
            <w:vAlign w:val="center"/>
          </w:tcPr>
          <w:p w14:paraId="403F1FC8" w14:textId="77777777" w:rsidR="00914204" w:rsidRDefault="00914204" w:rsidP="009177AB">
            <w:pPr>
              <w:jc w:val="center"/>
            </w:pPr>
          </w:p>
        </w:tc>
        <w:tc>
          <w:tcPr>
            <w:tcW w:w="494" w:type="dxa"/>
            <w:vAlign w:val="center"/>
          </w:tcPr>
          <w:p w14:paraId="50B31725" w14:textId="77777777" w:rsidR="00914204" w:rsidRDefault="00914204" w:rsidP="009177AB">
            <w:pPr>
              <w:jc w:val="center"/>
            </w:pPr>
            <w:r w:rsidRPr="00C27851">
              <w:t>‘18</w:t>
            </w:r>
          </w:p>
        </w:tc>
        <w:tc>
          <w:tcPr>
            <w:tcW w:w="494" w:type="dxa"/>
            <w:vAlign w:val="center"/>
          </w:tcPr>
          <w:p w14:paraId="018BB7F8" w14:textId="77777777" w:rsidR="00914204" w:rsidRDefault="00914204" w:rsidP="009177AB">
            <w:pPr>
              <w:jc w:val="center"/>
            </w:pPr>
            <w:r w:rsidRPr="00C27851">
              <w:t>‘19</w:t>
            </w:r>
          </w:p>
        </w:tc>
        <w:tc>
          <w:tcPr>
            <w:tcW w:w="494" w:type="dxa"/>
            <w:vAlign w:val="center"/>
          </w:tcPr>
          <w:p w14:paraId="681D4A2E" w14:textId="77777777" w:rsidR="00914204" w:rsidRDefault="00914204" w:rsidP="009177AB">
            <w:pPr>
              <w:jc w:val="center"/>
            </w:pPr>
            <w:r w:rsidRPr="00C27851">
              <w:t>‘20</w:t>
            </w:r>
          </w:p>
        </w:tc>
        <w:tc>
          <w:tcPr>
            <w:tcW w:w="494" w:type="dxa"/>
            <w:vAlign w:val="center"/>
          </w:tcPr>
          <w:p w14:paraId="46B3C38B" w14:textId="77777777" w:rsidR="00914204" w:rsidRDefault="00914204" w:rsidP="009177AB">
            <w:pPr>
              <w:jc w:val="center"/>
            </w:pPr>
            <w:r w:rsidRPr="00C27851">
              <w:t>‘21</w:t>
            </w:r>
          </w:p>
        </w:tc>
        <w:tc>
          <w:tcPr>
            <w:tcW w:w="494" w:type="dxa"/>
            <w:vAlign w:val="center"/>
          </w:tcPr>
          <w:p w14:paraId="796181F6" w14:textId="77777777" w:rsidR="00914204" w:rsidRDefault="00914204" w:rsidP="009177AB">
            <w:pPr>
              <w:jc w:val="center"/>
            </w:pPr>
            <w:r w:rsidRPr="00C27851">
              <w:t>‘22</w:t>
            </w:r>
          </w:p>
        </w:tc>
        <w:tc>
          <w:tcPr>
            <w:tcW w:w="494" w:type="dxa"/>
            <w:vAlign w:val="center"/>
          </w:tcPr>
          <w:p w14:paraId="2CC3ABBC" w14:textId="77777777" w:rsidR="00914204" w:rsidRDefault="00914204" w:rsidP="009177AB">
            <w:pPr>
              <w:jc w:val="center"/>
            </w:pPr>
            <w:r w:rsidRPr="00C27851">
              <w:t>‘23</w:t>
            </w:r>
          </w:p>
        </w:tc>
        <w:tc>
          <w:tcPr>
            <w:tcW w:w="494" w:type="dxa"/>
            <w:vAlign w:val="center"/>
          </w:tcPr>
          <w:p w14:paraId="69A01E64" w14:textId="77777777" w:rsidR="00914204" w:rsidRDefault="00914204" w:rsidP="009177AB">
            <w:pPr>
              <w:jc w:val="center"/>
            </w:pPr>
            <w:r w:rsidRPr="00C27851">
              <w:t>‘24</w:t>
            </w:r>
          </w:p>
        </w:tc>
      </w:tr>
      <w:tr w:rsidR="008C5CEA" w14:paraId="75A8E7A7" w14:textId="77777777" w:rsidTr="005C510F">
        <w:tc>
          <w:tcPr>
            <w:tcW w:w="2014" w:type="dxa"/>
            <w:vMerge w:val="restart"/>
            <w:vAlign w:val="center"/>
          </w:tcPr>
          <w:p w14:paraId="11467AB4" w14:textId="77777777" w:rsidR="008C5CEA" w:rsidRDefault="008C5CEA" w:rsidP="00914204">
            <w:r>
              <w:t>Institutional and legal framework</w:t>
            </w:r>
          </w:p>
        </w:tc>
        <w:tc>
          <w:tcPr>
            <w:tcW w:w="2039" w:type="dxa"/>
            <w:vAlign w:val="center"/>
          </w:tcPr>
          <w:p w14:paraId="57DE0CCD" w14:textId="77777777" w:rsidR="008C5CEA" w:rsidRDefault="008C5CEA" w:rsidP="00914204">
            <w:r>
              <w:t>Carrying out a study on the proposed mechanism</w:t>
            </w:r>
          </w:p>
        </w:tc>
        <w:tc>
          <w:tcPr>
            <w:tcW w:w="1506" w:type="dxa"/>
            <w:vAlign w:val="center"/>
          </w:tcPr>
          <w:p w14:paraId="7C9E0443" w14:textId="77777777" w:rsidR="008C5CEA" w:rsidRDefault="008C5CEA" w:rsidP="00914204">
            <w:r>
              <w:t>MMDE</w:t>
            </w:r>
          </w:p>
        </w:tc>
        <w:tc>
          <w:tcPr>
            <w:tcW w:w="494" w:type="dxa"/>
            <w:shd w:val="clear" w:color="auto" w:fill="FFFFFF" w:themeFill="background1"/>
            <w:vAlign w:val="center"/>
          </w:tcPr>
          <w:p w14:paraId="55167ED7" w14:textId="77777777" w:rsidR="008C5CEA" w:rsidRDefault="008C5CEA" w:rsidP="009177AB">
            <w:pPr>
              <w:jc w:val="center"/>
            </w:pPr>
          </w:p>
        </w:tc>
        <w:tc>
          <w:tcPr>
            <w:tcW w:w="494" w:type="dxa"/>
            <w:shd w:val="clear" w:color="auto" w:fill="BFBFBF" w:themeFill="background1" w:themeFillShade="BF"/>
            <w:vAlign w:val="center"/>
          </w:tcPr>
          <w:p w14:paraId="5B0CEBB9" w14:textId="77777777" w:rsidR="008C5CEA" w:rsidRDefault="008C5CEA" w:rsidP="009177AB">
            <w:pPr>
              <w:jc w:val="center"/>
            </w:pPr>
          </w:p>
        </w:tc>
        <w:tc>
          <w:tcPr>
            <w:tcW w:w="494" w:type="dxa"/>
            <w:vAlign w:val="center"/>
          </w:tcPr>
          <w:p w14:paraId="19BC0E72" w14:textId="77777777" w:rsidR="008C5CEA" w:rsidRDefault="008C5CEA" w:rsidP="009177AB">
            <w:pPr>
              <w:jc w:val="center"/>
            </w:pPr>
          </w:p>
        </w:tc>
        <w:tc>
          <w:tcPr>
            <w:tcW w:w="494" w:type="dxa"/>
            <w:vAlign w:val="center"/>
          </w:tcPr>
          <w:p w14:paraId="5E82F704" w14:textId="77777777" w:rsidR="008C5CEA" w:rsidRDefault="008C5CEA" w:rsidP="009177AB">
            <w:pPr>
              <w:jc w:val="center"/>
            </w:pPr>
          </w:p>
        </w:tc>
        <w:tc>
          <w:tcPr>
            <w:tcW w:w="494" w:type="dxa"/>
            <w:vAlign w:val="center"/>
          </w:tcPr>
          <w:p w14:paraId="614B38DB" w14:textId="77777777" w:rsidR="008C5CEA" w:rsidRDefault="008C5CEA" w:rsidP="009177AB">
            <w:pPr>
              <w:jc w:val="center"/>
            </w:pPr>
          </w:p>
        </w:tc>
        <w:tc>
          <w:tcPr>
            <w:tcW w:w="494" w:type="dxa"/>
            <w:vAlign w:val="center"/>
          </w:tcPr>
          <w:p w14:paraId="1DD112AF" w14:textId="77777777" w:rsidR="008C5CEA" w:rsidRDefault="008C5CEA" w:rsidP="009177AB">
            <w:pPr>
              <w:jc w:val="center"/>
            </w:pPr>
          </w:p>
        </w:tc>
        <w:tc>
          <w:tcPr>
            <w:tcW w:w="494" w:type="dxa"/>
            <w:vAlign w:val="center"/>
          </w:tcPr>
          <w:p w14:paraId="78C69757" w14:textId="77777777" w:rsidR="008C5CEA" w:rsidRDefault="008C5CEA" w:rsidP="009177AB">
            <w:pPr>
              <w:jc w:val="center"/>
            </w:pPr>
          </w:p>
        </w:tc>
      </w:tr>
      <w:tr w:rsidR="008C5CEA" w14:paraId="02363284" w14:textId="77777777" w:rsidTr="005C510F">
        <w:tc>
          <w:tcPr>
            <w:tcW w:w="2014" w:type="dxa"/>
            <w:vMerge/>
            <w:vAlign w:val="center"/>
          </w:tcPr>
          <w:p w14:paraId="6BCBE607" w14:textId="77777777" w:rsidR="008C5CEA" w:rsidRDefault="008C5CEA" w:rsidP="00914204"/>
        </w:tc>
        <w:tc>
          <w:tcPr>
            <w:tcW w:w="2039" w:type="dxa"/>
            <w:vAlign w:val="center"/>
          </w:tcPr>
          <w:p w14:paraId="08449E32" w14:textId="77777777" w:rsidR="008C5CEA" w:rsidRDefault="008C5CEA" w:rsidP="00914204">
            <w:r>
              <w:t>Reviewing the institutional and regulatory mechanism</w:t>
            </w:r>
          </w:p>
        </w:tc>
        <w:tc>
          <w:tcPr>
            <w:tcW w:w="1506" w:type="dxa"/>
            <w:vAlign w:val="center"/>
          </w:tcPr>
          <w:p w14:paraId="4B759D2F" w14:textId="77777777" w:rsidR="008C5CEA" w:rsidRDefault="008C5CEA" w:rsidP="00914204">
            <w:r>
              <w:t>MMDE</w:t>
            </w:r>
          </w:p>
        </w:tc>
        <w:tc>
          <w:tcPr>
            <w:tcW w:w="494" w:type="dxa"/>
            <w:vAlign w:val="center"/>
          </w:tcPr>
          <w:p w14:paraId="7A1BF6AD" w14:textId="77777777" w:rsidR="008C5CEA" w:rsidRDefault="008C5CEA" w:rsidP="009177AB">
            <w:pPr>
              <w:jc w:val="center"/>
            </w:pPr>
          </w:p>
        </w:tc>
        <w:tc>
          <w:tcPr>
            <w:tcW w:w="494" w:type="dxa"/>
            <w:shd w:val="clear" w:color="auto" w:fill="BFBFBF" w:themeFill="background1" w:themeFillShade="BF"/>
            <w:vAlign w:val="center"/>
          </w:tcPr>
          <w:p w14:paraId="1DD34C8D" w14:textId="77777777" w:rsidR="008C5CEA" w:rsidRDefault="008C5CEA" w:rsidP="009177AB">
            <w:pPr>
              <w:jc w:val="center"/>
            </w:pPr>
          </w:p>
        </w:tc>
        <w:tc>
          <w:tcPr>
            <w:tcW w:w="494" w:type="dxa"/>
            <w:vAlign w:val="center"/>
          </w:tcPr>
          <w:p w14:paraId="4E2C80E2" w14:textId="77777777" w:rsidR="008C5CEA" w:rsidRDefault="008C5CEA" w:rsidP="009177AB">
            <w:pPr>
              <w:jc w:val="center"/>
            </w:pPr>
          </w:p>
        </w:tc>
        <w:tc>
          <w:tcPr>
            <w:tcW w:w="494" w:type="dxa"/>
            <w:vAlign w:val="center"/>
          </w:tcPr>
          <w:p w14:paraId="1C5938C4" w14:textId="77777777" w:rsidR="008C5CEA" w:rsidRDefault="008C5CEA" w:rsidP="009177AB">
            <w:pPr>
              <w:jc w:val="center"/>
            </w:pPr>
          </w:p>
        </w:tc>
        <w:tc>
          <w:tcPr>
            <w:tcW w:w="494" w:type="dxa"/>
            <w:vAlign w:val="center"/>
          </w:tcPr>
          <w:p w14:paraId="25E388CD" w14:textId="77777777" w:rsidR="008C5CEA" w:rsidRDefault="008C5CEA" w:rsidP="009177AB">
            <w:pPr>
              <w:jc w:val="center"/>
            </w:pPr>
          </w:p>
        </w:tc>
        <w:tc>
          <w:tcPr>
            <w:tcW w:w="494" w:type="dxa"/>
            <w:vAlign w:val="center"/>
          </w:tcPr>
          <w:p w14:paraId="2503F2E5" w14:textId="77777777" w:rsidR="008C5CEA" w:rsidRDefault="008C5CEA" w:rsidP="009177AB">
            <w:pPr>
              <w:jc w:val="center"/>
            </w:pPr>
          </w:p>
        </w:tc>
        <w:tc>
          <w:tcPr>
            <w:tcW w:w="494" w:type="dxa"/>
            <w:vAlign w:val="center"/>
          </w:tcPr>
          <w:p w14:paraId="238A0D8A" w14:textId="77777777" w:rsidR="008C5CEA" w:rsidRDefault="008C5CEA" w:rsidP="009177AB">
            <w:pPr>
              <w:jc w:val="center"/>
            </w:pPr>
          </w:p>
        </w:tc>
      </w:tr>
      <w:tr w:rsidR="008C5CEA" w14:paraId="6914CA56" w14:textId="77777777" w:rsidTr="005C510F">
        <w:tc>
          <w:tcPr>
            <w:tcW w:w="2014" w:type="dxa"/>
            <w:vMerge/>
            <w:vAlign w:val="center"/>
          </w:tcPr>
          <w:p w14:paraId="743C9B16" w14:textId="77777777" w:rsidR="008C5CEA" w:rsidRDefault="008C5CEA" w:rsidP="00914204"/>
        </w:tc>
        <w:tc>
          <w:tcPr>
            <w:tcW w:w="2039" w:type="dxa"/>
            <w:vAlign w:val="center"/>
          </w:tcPr>
          <w:p w14:paraId="5416907B" w14:textId="77777777" w:rsidR="008C5CEA" w:rsidRDefault="008C5CEA" w:rsidP="00914204">
            <w:r>
              <w:t>Listing out the biodiversity conservation programmes</w:t>
            </w:r>
          </w:p>
        </w:tc>
        <w:tc>
          <w:tcPr>
            <w:tcW w:w="1506" w:type="dxa"/>
            <w:vAlign w:val="center"/>
          </w:tcPr>
          <w:p w14:paraId="00B1A869" w14:textId="77777777" w:rsidR="008C5CEA" w:rsidRDefault="008C5CEA" w:rsidP="00914204">
            <w:r>
              <w:t>MMDE</w:t>
            </w:r>
          </w:p>
        </w:tc>
        <w:tc>
          <w:tcPr>
            <w:tcW w:w="494" w:type="dxa"/>
            <w:vAlign w:val="center"/>
          </w:tcPr>
          <w:p w14:paraId="3A9682EF" w14:textId="77777777" w:rsidR="008C5CEA" w:rsidRDefault="008C5CEA" w:rsidP="009177AB">
            <w:pPr>
              <w:jc w:val="center"/>
            </w:pPr>
          </w:p>
        </w:tc>
        <w:tc>
          <w:tcPr>
            <w:tcW w:w="494" w:type="dxa"/>
            <w:shd w:val="clear" w:color="auto" w:fill="BFBFBF" w:themeFill="background1" w:themeFillShade="BF"/>
            <w:vAlign w:val="center"/>
          </w:tcPr>
          <w:p w14:paraId="3B29ECE8" w14:textId="77777777" w:rsidR="008C5CEA" w:rsidRDefault="008C5CEA" w:rsidP="009177AB">
            <w:pPr>
              <w:jc w:val="center"/>
            </w:pPr>
          </w:p>
        </w:tc>
        <w:tc>
          <w:tcPr>
            <w:tcW w:w="494" w:type="dxa"/>
            <w:shd w:val="clear" w:color="auto" w:fill="FFFFFF" w:themeFill="background1"/>
            <w:vAlign w:val="center"/>
          </w:tcPr>
          <w:p w14:paraId="52725CAB" w14:textId="77777777" w:rsidR="008C5CEA" w:rsidRDefault="008C5CEA" w:rsidP="009177AB">
            <w:pPr>
              <w:jc w:val="center"/>
            </w:pPr>
          </w:p>
        </w:tc>
        <w:tc>
          <w:tcPr>
            <w:tcW w:w="494" w:type="dxa"/>
            <w:shd w:val="clear" w:color="auto" w:fill="FFFFFF" w:themeFill="background1"/>
            <w:vAlign w:val="center"/>
          </w:tcPr>
          <w:p w14:paraId="0859E48A" w14:textId="77777777" w:rsidR="008C5CEA" w:rsidRDefault="008C5CEA" w:rsidP="009177AB">
            <w:pPr>
              <w:jc w:val="center"/>
            </w:pPr>
          </w:p>
        </w:tc>
        <w:tc>
          <w:tcPr>
            <w:tcW w:w="494" w:type="dxa"/>
            <w:vAlign w:val="center"/>
          </w:tcPr>
          <w:p w14:paraId="7BA1427E" w14:textId="77777777" w:rsidR="008C5CEA" w:rsidRDefault="008C5CEA" w:rsidP="009177AB">
            <w:pPr>
              <w:jc w:val="center"/>
            </w:pPr>
          </w:p>
        </w:tc>
        <w:tc>
          <w:tcPr>
            <w:tcW w:w="494" w:type="dxa"/>
            <w:vAlign w:val="center"/>
          </w:tcPr>
          <w:p w14:paraId="7480DD19" w14:textId="77777777" w:rsidR="008C5CEA" w:rsidRDefault="008C5CEA" w:rsidP="009177AB">
            <w:pPr>
              <w:jc w:val="center"/>
            </w:pPr>
          </w:p>
        </w:tc>
        <w:tc>
          <w:tcPr>
            <w:tcW w:w="494" w:type="dxa"/>
            <w:vAlign w:val="center"/>
          </w:tcPr>
          <w:p w14:paraId="0EAEF5B5" w14:textId="77777777" w:rsidR="008C5CEA" w:rsidRDefault="008C5CEA" w:rsidP="009177AB">
            <w:pPr>
              <w:jc w:val="center"/>
            </w:pPr>
          </w:p>
        </w:tc>
      </w:tr>
      <w:tr w:rsidR="008C5CEA" w14:paraId="53C0F6D5" w14:textId="77777777" w:rsidTr="005C510F">
        <w:tc>
          <w:tcPr>
            <w:tcW w:w="2014" w:type="dxa"/>
            <w:vMerge/>
            <w:vAlign w:val="center"/>
          </w:tcPr>
          <w:p w14:paraId="5DA33E2D" w14:textId="77777777" w:rsidR="008C5CEA" w:rsidRDefault="008C5CEA" w:rsidP="00914204"/>
        </w:tc>
        <w:tc>
          <w:tcPr>
            <w:tcW w:w="2039" w:type="dxa"/>
            <w:vAlign w:val="center"/>
          </w:tcPr>
          <w:p w14:paraId="5A9524A1" w14:textId="77777777" w:rsidR="008C5CEA" w:rsidRDefault="008C5CEA" w:rsidP="00914204">
            <w:r>
              <w:t>Approval for recommendations</w:t>
            </w:r>
          </w:p>
        </w:tc>
        <w:tc>
          <w:tcPr>
            <w:tcW w:w="1506" w:type="dxa"/>
            <w:vAlign w:val="center"/>
          </w:tcPr>
          <w:p w14:paraId="26AB1DFD" w14:textId="77777777" w:rsidR="008C5CEA" w:rsidRDefault="008C5CEA" w:rsidP="00914204">
            <w:r>
              <w:t>MMDE,</w:t>
            </w:r>
          </w:p>
          <w:p w14:paraId="0DAA4329" w14:textId="77777777" w:rsidR="008C5CEA" w:rsidRDefault="008C5CEA" w:rsidP="00914204">
            <w:r>
              <w:t>MF</w:t>
            </w:r>
          </w:p>
        </w:tc>
        <w:tc>
          <w:tcPr>
            <w:tcW w:w="494" w:type="dxa"/>
            <w:vAlign w:val="center"/>
          </w:tcPr>
          <w:p w14:paraId="57DF43F9" w14:textId="77777777" w:rsidR="008C5CEA" w:rsidRDefault="008C5CEA" w:rsidP="009177AB">
            <w:pPr>
              <w:jc w:val="center"/>
            </w:pPr>
          </w:p>
        </w:tc>
        <w:tc>
          <w:tcPr>
            <w:tcW w:w="494" w:type="dxa"/>
            <w:shd w:val="clear" w:color="auto" w:fill="BFBFBF" w:themeFill="background1" w:themeFillShade="BF"/>
            <w:vAlign w:val="center"/>
          </w:tcPr>
          <w:p w14:paraId="2B3F9D9F" w14:textId="77777777" w:rsidR="008C5CEA" w:rsidRDefault="008C5CEA" w:rsidP="009177AB">
            <w:pPr>
              <w:jc w:val="center"/>
            </w:pPr>
          </w:p>
        </w:tc>
        <w:tc>
          <w:tcPr>
            <w:tcW w:w="494" w:type="dxa"/>
            <w:shd w:val="clear" w:color="auto" w:fill="BFBFBF" w:themeFill="background1" w:themeFillShade="BF"/>
            <w:vAlign w:val="center"/>
          </w:tcPr>
          <w:p w14:paraId="428EA165" w14:textId="77777777" w:rsidR="008C5CEA" w:rsidRDefault="008C5CEA" w:rsidP="009177AB">
            <w:pPr>
              <w:jc w:val="center"/>
            </w:pPr>
          </w:p>
        </w:tc>
        <w:tc>
          <w:tcPr>
            <w:tcW w:w="494" w:type="dxa"/>
            <w:shd w:val="clear" w:color="auto" w:fill="FFFFFF" w:themeFill="background1"/>
            <w:vAlign w:val="center"/>
          </w:tcPr>
          <w:p w14:paraId="74D28837" w14:textId="77777777" w:rsidR="008C5CEA" w:rsidRDefault="008C5CEA" w:rsidP="009177AB">
            <w:pPr>
              <w:jc w:val="center"/>
            </w:pPr>
          </w:p>
        </w:tc>
        <w:tc>
          <w:tcPr>
            <w:tcW w:w="494" w:type="dxa"/>
            <w:vAlign w:val="center"/>
          </w:tcPr>
          <w:p w14:paraId="4BC08EBB" w14:textId="77777777" w:rsidR="008C5CEA" w:rsidRDefault="008C5CEA" w:rsidP="009177AB">
            <w:pPr>
              <w:jc w:val="center"/>
            </w:pPr>
          </w:p>
        </w:tc>
        <w:tc>
          <w:tcPr>
            <w:tcW w:w="494" w:type="dxa"/>
            <w:vAlign w:val="center"/>
          </w:tcPr>
          <w:p w14:paraId="35307360" w14:textId="77777777" w:rsidR="008C5CEA" w:rsidRDefault="008C5CEA" w:rsidP="009177AB">
            <w:pPr>
              <w:jc w:val="center"/>
            </w:pPr>
          </w:p>
        </w:tc>
        <w:tc>
          <w:tcPr>
            <w:tcW w:w="494" w:type="dxa"/>
            <w:vAlign w:val="center"/>
          </w:tcPr>
          <w:p w14:paraId="1EC702BE" w14:textId="77777777" w:rsidR="008C5CEA" w:rsidRDefault="008C5CEA" w:rsidP="009177AB">
            <w:pPr>
              <w:jc w:val="center"/>
            </w:pPr>
          </w:p>
        </w:tc>
      </w:tr>
      <w:tr w:rsidR="008C5CEA" w14:paraId="31D2232C" w14:textId="77777777" w:rsidTr="005C510F">
        <w:tc>
          <w:tcPr>
            <w:tcW w:w="2014" w:type="dxa"/>
            <w:vMerge w:val="restart"/>
            <w:vAlign w:val="center"/>
          </w:tcPr>
          <w:p w14:paraId="2CCA31FB" w14:textId="77777777" w:rsidR="008C5CEA" w:rsidRDefault="008C5CEA" w:rsidP="00914204">
            <w:r w:rsidRPr="008D3D43">
              <w:t>Savings and investment scheme</w:t>
            </w:r>
          </w:p>
        </w:tc>
        <w:tc>
          <w:tcPr>
            <w:tcW w:w="2039" w:type="dxa"/>
            <w:vAlign w:val="center"/>
          </w:tcPr>
          <w:p w14:paraId="63EC3389" w14:textId="77777777" w:rsidR="008C5CEA" w:rsidRDefault="008C5CEA" w:rsidP="00914204">
            <w:r>
              <w:t>Stakeholder consultations</w:t>
            </w:r>
          </w:p>
        </w:tc>
        <w:tc>
          <w:tcPr>
            <w:tcW w:w="1506" w:type="dxa"/>
            <w:vAlign w:val="center"/>
          </w:tcPr>
          <w:p w14:paraId="7782084D" w14:textId="77777777" w:rsidR="008C5CEA" w:rsidRDefault="008C5CEA" w:rsidP="00914204">
            <w:r>
              <w:t>MMDE</w:t>
            </w:r>
          </w:p>
        </w:tc>
        <w:tc>
          <w:tcPr>
            <w:tcW w:w="494" w:type="dxa"/>
            <w:vAlign w:val="center"/>
          </w:tcPr>
          <w:p w14:paraId="528563A3" w14:textId="77777777" w:rsidR="008C5CEA" w:rsidRDefault="008C5CEA" w:rsidP="009177AB">
            <w:pPr>
              <w:jc w:val="center"/>
            </w:pPr>
          </w:p>
        </w:tc>
        <w:tc>
          <w:tcPr>
            <w:tcW w:w="494" w:type="dxa"/>
            <w:vAlign w:val="center"/>
          </w:tcPr>
          <w:p w14:paraId="624C532F" w14:textId="77777777" w:rsidR="008C5CEA" w:rsidRDefault="008C5CEA" w:rsidP="009177AB">
            <w:pPr>
              <w:jc w:val="center"/>
            </w:pPr>
          </w:p>
        </w:tc>
        <w:tc>
          <w:tcPr>
            <w:tcW w:w="494" w:type="dxa"/>
            <w:shd w:val="clear" w:color="auto" w:fill="BFBFBF" w:themeFill="background1" w:themeFillShade="BF"/>
            <w:vAlign w:val="center"/>
          </w:tcPr>
          <w:p w14:paraId="25200C4A" w14:textId="77777777" w:rsidR="008C5CEA" w:rsidRDefault="008C5CEA" w:rsidP="009177AB">
            <w:pPr>
              <w:jc w:val="center"/>
            </w:pPr>
          </w:p>
        </w:tc>
        <w:tc>
          <w:tcPr>
            <w:tcW w:w="494" w:type="dxa"/>
            <w:vAlign w:val="center"/>
          </w:tcPr>
          <w:p w14:paraId="59844108" w14:textId="77777777" w:rsidR="008C5CEA" w:rsidRDefault="008C5CEA" w:rsidP="009177AB">
            <w:pPr>
              <w:jc w:val="center"/>
            </w:pPr>
          </w:p>
        </w:tc>
        <w:tc>
          <w:tcPr>
            <w:tcW w:w="494" w:type="dxa"/>
            <w:vAlign w:val="center"/>
          </w:tcPr>
          <w:p w14:paraId="41BFBB0E" w14:textId="77777777" w:rsidR="008C5CEA" w:rsidRDefault="008C5CEA" w:rsidP="009177AB">
            <w:pPr>
              <w:jc w:val="center"/>
            </w:pPr>
          </w:p>
        </w:tc>
        <w:tc>
          <w:tcPr>
            <w:tcW w:w="494" w:type="dxa"/>
            <w:vAlign w:val="center"/>
          </w:tcPr>
          <w:p w14:paraId="7377D82E" w14:textId="77777777" w:rsidR="008C5CEA" w:rsidRDefault="008C5CEA" w:rsidP="009177AB">
            <w:pPr>
              <w:jc w:val="center"/>
            </w:pPr>
          </w:p>
        </w:tc>
        <w:tc>
          <w:tcPr>
            <w:tcW w:w="494" w:type="dxa"/>
            <w:vAlign w:val="center"/>
          </w:tcPr>
          <w:p w14:paraId="57AD6395" w14:textId="77777777" w:rsidR="008C5CEA" w:rsidRDefault="008C5CEA" w:rsidP="009177AB">
            <w:pPr>
              <w:jc w:val="center"/>
            </w:pPr>
          </w:p>
        </w:tc>
      </w:tr>
      <w:tr w:rsidR="008C5CEA" w14:paraId="31F7F0D5" w14:textId="77777777" w:rsidTr="005C510F">
        <w:tc>
          <w:tcPr>
            <w:tcW w:w="2014" w:type="dxa"/>
            <w:vMerge/>
            <w:vAlign w:val="center"/>
          </w:tcPr>
          <w:p w14:paraId="659C12DE" w14:textId="77777777" w:rsidR="008C5CEA" w:rsidRDefault="008C5CEA" w:rsidP="00914204"/>
        </w:tc>
        <w:tc>
          <w:tcPr>
            <w:tcW w:w="2039" w:type="dxa"/>
            <w:vAlign w:val="center"/>
          </w:tcPr>
          <w:p w14:paraId="2F8CBE38" w14:textId="77777777" w:rsidR="008C5CEA" w:rsidRDefault="008C5CEA" w:rsidP="00914204">
            <w:r>
              <w:t>Designing the savings and investment scheme</w:t>
            </w:r>
          </w:p>
        </w:tc>
        <w:tc>
          <w:tcPr>
            <w:tcW w:w="1506" w:type="dxa"/>
            <w:vAlign w:val="center"/>
          </w:tcPr>
          <w:p w14:paraId="456A2F94" w14:textId="77777777" w:rsidR="008C5CEA" w:rsidRDefault="008C5CEA" w:rsidP="00914204">
            <w:r>
              <w:t>MMDE,</w:t>
            </w:r>
          </w:p>
          <w:p w14:paraId="15B01450" w14:textId="77777777" w:rsidR="008C5CEA" w:rsidRDefault="008C5CEA" w:rsidP="00914204">
            <w:r>
              <w:t>Banks</w:t>
            </w:r>
          </w:p>
        </w:tc>
        <w:tc>
          <w:tcPr>
            <w:tcW w:w="494" w:type="dxa"/>
            <w:vAlign w:val="center"/>
          </w:tcPr>
          <w:p w14:paraId="1F0808D9" w14:textId="77777777" w:rsidR="008C5CEA" w:rsidRDefault="008C5CEA" w:rsidP="009177AB">
            <w:pPr>
              <w:jc w:val="center"/>
            </w:pPr>
          </w:p>
        </w:tc>
        <w:tc>
          <w:tcPr>
            <w:tcW w:w="494" w:type="dxa"/>
            <w:vAlign w:val="center"/>
          </w:tcPr>
          <w:p w14:paraId="124820C3" w14:textId="77777777" w:rsidR="008C5CEA" w:rsidRDefault="008C5CEA" w:rsidP="009177AB">
            <w:pPr>
              <w:jc w:val="center"/>
            </w:pPr>
          </w:p>
        </w:tc>
        <w:tc>
          <w:tcPr>
            <w:tcW w:w="494" w:type="dxa"/>
            <w:shd w:val="clear" w:color="auto" w:fill="BFBFBF" w:themeFill="background1" w:themeFillShade="BF"/>
            <w:vAlign w:val="center"/>
          </w:tcPr>
          <w:p w14:paraId="741D8798" w14:textId="77777777" w:rsidR="008C5CEA" w:rsidRDefault="008C5CEA" w:rsidP="009177AB">
            <w:pPr>
              <w:jc w:val="center"/>
            </w:pPr>
          </w:p>
        </w:tc>
        <w:tc>
          <w:tcPr>
            <w:tcW w:w="494" w:type="dxa"/>
            <w:vAlign w:val="center"/>
          </w:tcPr>
          <w:p w14:paraId="2BE7B93F" w14:textId="77777777" w:rsidR="008C5CEA" w:rsidRDefault="008C5CEA" w:rsidP="009177AB">
            <w:pPr>
              <w:jc w:val="center"/>
            </w:pPr>
          </w:p>
        </w:tc>
        <w:tc>
          <w:tcPr>
            <w:tcW w:w="494" w:type="dxa"/>
            <w:vAlign w:val="center"/>
          </w:tcPr>
          <w:p w14:paraId="73BA766F" w14:textId="77777777" w:rsidR="008C5CEA" w:rsidRDefault="008C5CEA" w:rsidP="009177AB">
            <w:pPr>
              <w:jc w:val="center"/>
            </w:pPr>
          </w:p>
        </w:tc>
        <w:tc>
          <w:tcPr>
            <w:tcW w:w="494" w:type="dxa"/>
            <w:vAlign w:val="center"/>
          </w:tcPr>
          <w:p w14:paraId="535E6447" w14:textId="77777777" w:rsidR="008C5CEA" w:rsidRDefault="008C5CEA" w:rsidP="009177AB">
            <w:pPr>
              <w:jc w:val="center"/>
            </w:pPr>
          </w:p>
        </w:tc>
        <w:tc>
          <w:tcPr>
            <w:tcW w:w="494" w:type="dxa"/>
            <w:vAlign w:val="center"/>
          </w:tcPr>
          <w:p w14:paraId="6739DD9E" w14:textId="77777777" w:rsidR="008C5CEA" w:rsidRDefault="008C5CEA" w:rsidP="009177AB">
            <w:pPr>
              <w:jc w:val="center"/>
            </w:pPr>
          </w:p>
        </w:tc>
      </w:tr>
      <w:tr w:rsidR="008C5CEA" w14:paraId="5098EBE1" w14:textId="77777777" w:rsidTr="005C510F">
        <w:tc>
          <w:tcPr>
            <w:tcW w:w="2014" w:type="dxa"/>
            <w:vMerge/>
            <w:vAlign w:val="center"/>
          </w:tcPr>
          <w:p w14:paraId="0FDEED94" w14:textId="77777777" w:rsidR="008C5CEA" w:rsidRDefault="008C5CEA" w:rsidP="00914204"/>
        </w:tc>
        <w:tc>
          <w:tcPr>
            <w:tcW w:w="2039" w:type="dxa"/>
            <w:vAlign w:val="center"/>
          </w:tcPr>
          <w:p w14:paraId="764D0434" w14:textId="77777777" w:rsidR="008C5CEA" w:rsidRDefault="008C5CEA" w:rsidP="00914204">
            <w:r>
              <w:t>Establishing the savings and investment scheme</w:t>
            </w:r>
          </w:p>
        </w:tc>
        <w:tc>
          <w:tcPr>
            <w:tcW w:w="1506" w:type="dxa"/>
            <w:vAlign w:val="center"/>
          </w:tcPr>
          <w:p w14:paraId="03A73D00" w14:textId="77777777" w:rsidR="008C5CEA" w:rsidRDefault="008C5CEA" w:rsidP="00914204">
            <w:r>
              <w:t>MMDE,</w:t>
            </w:r>
          </w:p>
          <w:p w14:paraId="41DBD116" w14:textId="77777777" w:rsidR="008C5CEA" w:rsidRDefault="008C5CEA" w:rsidP="00914204">
            <w:r>
              <w:t>Banks</w:t>
            </w:r>
          </w:p>
        </w:tc>
        <w:tc>
          <w:tcPr>
            <w:tcW w:w="494" w:type="dxa"/>
            <w:vAlign w:val="center"/>
          </w:tcPr>
          <w:p w14:paraId="28F119A7" w14:textId="77777777" w:rsidR="008C5CEA" w:rsidRDefault="008C5CEA" w:rsidP="009177AB">
            <w:pPr>
              <w:jc w:val="center"/>
            </w:pPr>
          </w:p>
        </w:tc>
        <w:tc>
          <w:tcPr>
            <w:tcW w:w="494" w:type="dxa"/>
            <w:vAlign w:val="center"/>
          </w:tcPr>
          <w:p w14:paraId="4471DB48" w14:textId="77777777" w:rsidR="008C5CEA" w:rsidRDefault="008C5CEA" w:rsidP="009177AB">
            <w:pPr>
              <w:jc w:val="center"/>
            </w:pPr>
          </w:p>
        </w:tc>
        <w:tc>
          <w:tcPr>
            <w:tcW w:w="494" w:type="dxa"/>
            <w:shd w:val="clear" w:color="auto" w:fill="BFBFBF" w:themeFill="background1" w:themeFillShade="BF"/>
            <w:vAlign w:val="center"/>
          </w:tcPr>
          <w:p w14:paraId="5EF63B29" w14:textId="77777777" w:rsidR="008C5CEA" w:rsidRDefault="008C5CEA" w:rsidP="009177AB">
            <w:pPr>
              <w:jc w:val="center"/>
            </w:pPr>
          </w:p>
        </w:tc>
        <w:tc>
          <w:tcPr>
            <w:tcW w:w="494" w:type="dxa"/>
            <w:shd w:val="clear" w:color="auto" w:fill="BFBFBF" w:themeFill="background1" w:themeFillShade="BF"/>
            <w:vAlign w:val="center"/>
          </w:tcPr>
          <w:p w14:paraId="27488437" w14:textId="77777777" w:rsidR="008C5CEA" w:rsidRDefault="008C5CEA" w:rsidP="009177AB">
            <w:pPr>
              <w:jc w:val="center"/>
            </w:pPr>
          </w:p>
        </w:tc>
        <w:tc>
          <w:tcPr>
            <w:tcW w:w="494" w:type="dxa"/>
            <w:vAlign w:val="center"/>
          </w:tcPr>
          <w:p w14:paraId="2404F02C" w14:textId="77777777" w:rsidR="008C5CEA" w:rsidRDefault="008C5CEA" w:rsidP="009177AB">
            <w:pPr>
              <w:jc w:val="center"/>
            </w:pPr>
          </w:p>
        </w:tc>
        <w:tc>
          <w:tcPr>
            <w:tcW w:w="494" w:type="dxa"/>
            <w:vAlign w:val="center"/>
          </w:tcPr>
          <w:p w14:paraId="6C7E98AE" w14:textId="77777777" w:rsidR="008C5CEA" w:rsidRDefault="008C5CEA" w:rsidP="009177AB">
            <w:pPr>
              <w:jc w:val="center"/>
            </w:pPr>
          </w:p>
        </w:tc>
        <w:tc>
          <w:tcPr>
            <w:tcW w:w="494" w:type="dxa"/>
            <w:vAlign w:val="center"/>
          </w:tcPr>
          <w:p w14:paraId="4FB43D1A" w14:textId="77777777" w:rsidR="008C5CEA" w:rsidRDefault="008C5CEA" w:rsidP="009177AB">
            <w:pPr>
              <w:jc w:val="center"/>
            </w:pPr>
          </w:p>
        </w:tc>
      </w:tr>
      <w:tr w:rsidR="008C5CEA" w14:paraId="2C3539C9" w14:textId="77777777" w:rsidTr="005C510F">
        <w:tc>
          <w:tcPr>
            <w:tcW w:w="2014" w:type="dxa"/>
            <w:vMerge/>
            <w:vAlign w:val="center"/>
          </w:tcPr>
          <w:p w14:paraId="159E03FD" w14:textId="77777777" w:rsidR="008C5CEA" w:rsidRDefault="008C5CEA" w:rsidP="00914204"/>
        </w:tc>
        <w:tc>
          <w:tcPr>
            <w:tcW w:w="2039" w:type="dxa"/>
            <w:vAlign w:val="center"/>
          </w:tcPr>
          <w:p w14:paraId="6A0BADF1" w14:textId="77777777" w:rsidR="008C5CEA" w:rsidRDefault="008C5CEA" w:rsidP="00914204">
            <w:r>
              <w:t>Launching a promotional campaign</w:t>
            </w:r>
          </w:p>
        </w:tc>
        <w:tc>
          <w:tcPr>
            <w:tcW w:w="1506" w:type="dxa"/>
            <w:vAlign w:val="center"/>
          </w:tcPr>
          <w:p w14:paraId="5D1CD6C2" w14:textId="77777777" w:rsidR="008C5CEA" w:rsidRDefault="008C5CEA" w:rsidP="00914204">
            <w:r>
              <w:t>MMDE,</w:t>
            </w:r>
          </w:p>
          <w:p w14:paraId="3667B302" w14:textId="77777777" w:rsidR="008C5CEA" w:rsidRDefault="008C5CEA" w:rsidP="00914204">
            <w:r>
              <w:t>Banks</w:t>
            </w:r>
          </w:p>
        </w:tc>
        <w:tc>
          <w:tcPr>
            <w:tcW w:w="494" w:type="dxa"/>
            <w:vAlign w:val="center"/>
          </w:tcPr>
          <w:p w14:paraId="434B2819" w14:textId="77777777" w:rsidR="008C5CEA" w:rsidRDefault="008C5CEA" w:rsidP="009177AB">
            <w:pPr>
              <w:jc w:val="center"/>
            </w:pPr>
          </w:p>
        </w:tc>
        <w:tc>
          <w:tcPr>
            <w:tcW w:w="494" w:type="dxa"/>
            <w:vAlign w:val="center"/>
          </w:tcPr>
          <w:p w14:paraId="354E0ECA" w14:textId="77777777" w:rsidR="008C5CEA" w:rsidRDefault="008C5CEA" w:rsidP="009177AB">
            <w:pPr>
              <w:jc w:val="center"/>
            </w:pPr>
          </w:p>
        </w:tc>
        <w:tc>
          <w:tcPr>
            <w:tcW w:w="494" w:type="dxa"/>
            <w:shd w:val="clear" w:color="auto" w:fill="BFBFBF" w:themeFill="background1" w:themeFillShade="BF"/>
            <w:vAlign w:val="center"/>
          </w:tcPr>
          <w:p w14:paraId="0E9A2EB5" w14:textId="77777777" w:rsidR="008C5CEA" w:rsidRDefault="008C5CEA" w:rsidP="009177AB">
            <w:pPr>
              <w:jc w:val="center"/>
            </w:pPr>
          </w:p>
        </w:tc>
        <w:tc>
          <w:tcPr>
            <w:tcW w:w="494" w:type="dxa"/>
            <w:shd w:val="clear" w:color="auto" w:fill="BFBFBF" w:themeFill="background1" w:themeFillShade="BF"/>
            <w:vAlign w:val="center"/>
          </w:tcPr>
          <w:p w14:paraId="4BFE88A1" w14:textId="77777777" w:rsidR="008C5CEA" w:rsidRDefault="008C5CEA" w:rsidP="009177AB">
            <w:pPr>
              <w:jc w:val="center"/>
            </w:pPr>
          </w:p>
        </w:tc>
        <w:tc>
          <w:tcPr>
            <w:tcW w:w="494" w:type="dxa"/>
            <w:vAlign w:val="center"/>
          </w:tcPr>
          <w:p w14:paraId="7ECC6F23" w14:textId="77777777" w:rsidR="008C5CEA" w:rsidRDefault="008C5CEA" w:rsidP="009177AB">
            <w:pPr>
              <w:jc w:val="center"/>
            </w:pPr>
          </w:p>
        </w:tc>
        <w:tc>
          <w:tcPr>
            <w:tcW w:w="494" w:type="dxa"/>
            <w:vAlign w:val="center"/>
          </w:tcPr>
          <w:p w14:paraId="03D08C14" w14:textId="77777777" w:rsidR="008C5CEA" w:rsidRDefault="008C5CEA" w:rsidP="009177AB">
            <w:pPr>
              <w:jc w:val="center"/>
            </w:pPr>
          </w:p>
        </w:tc>
        <w:tc>
          <w:tcPr>
            <w:tcW w:w="494" w:type="dxa"/>
            <w:vAlign w:val="center"/>
          </w:tcPr>
          <w:p w14:paraId="729A8034" w14:textId="77777777" w:rsidR="008C5CEA" w:rsidRDefault="008C5CEA" w:rsidP="009177AB">
            <w:pPr>
              <w:jc w:val="center"/>
            </w:pPr>
          </w:p>
        </w:tc>
      </w:tr>
      <w:tr w:rsidR="008C5CEA" w14:paraId="75FF540B" w14:textId="77777777" w:rsidTr="005C510F">
        <w:tc>
          <w:tcPr>
            <w:tcW w:w="2014" w:type="dxa"/>
            <w:vMerge w:val="restart"/>
            <w:vAlign w:val="center"/>
          </w:tcPr>
          <w:p w14:paraId="10F6A745" w14:textId="77777777" w:rsidR="008C5CEA" w:rsidRDefault="008C5CEA" w:rsidP="00914204">
            <w:r>
              <w:t>Investing in biodiversity</w:t>
            </w:r>
          </w:p>
        </w:tc>
        <w:tc>
          <w:tcPr>
            <w:tcW w:w="2039" w:type="dxa"/>
            <w:vAlign w:val="center"/>
          </w:tcPr>
          <w:p w14:paraId="617BADF9" w14:textId="77777777" w:rsidR="008C5CEA" w:rsidRDefault="008C5CEA" w:rsidP="00914204">
            <w:r>
              <w:t>Launching the fund utilization projects</w:t>
            </w:r>
          </w:p>
        </w:tc>
        <w:tc>
          <w:tcPr>
            <w:tcW w:w="1506" w:type="dxa"/>
            <w:vAlign w:val="center"/>
          </w:tcPr>
          <w:p w14:paraId="60CE143A" w14:textId="77777777" w:rsidR="008C5CEA" w:rsidRDefault="008C5CEA" w:rsidP="00914204">
            <w:r>
              <w:t>MMDE,</w:t>
            </w:r>
          </w:p>
          <w:p w14:paraId="5CEAEF0D" w14:textId="77777777" w:rsidR="008C5CEA" w:rsidRDefault="008C5CEA" w:rsidP="00914204">
            <w:r>
              <w:t>Others</w:t>
            </w:r>
          </w:p>
        </w:tc>
        <w:tc>
          <w:tcPr>
            <w:tcW w:w="494" w:type="dxa"/>
            <w:vAlign w:val="center"/>
          </w:tcPr>
          <w:p w14:paraId="3BE1BAD6" w14:textId="77777777" w:rsidR="008C5CEA" w:rsidRDefault="008C5CEA" w:rsidP="009177AB">
            <w:pPr>
              <w:jc w:val="center"/>
            </w:pPr>
          </w:p>
        </w:tc>
        <w:tc>
          <w:tcPr>
            <w:tcW w:w="494" w:type="dxa"/>
            <w:vAlign w:val="center"/>
          </w:tcPr>
          <w:p w14:paraId="5DC979E9" w14:textId="77777777" w:rsidR="008C5CEA" w:rsidRDefault="008C5CEA" w:rsidP="009177AB">
            <w:pPr>
              <w:jc w:val="center"/>
            </w:pPr>
          </w:p>
        </w:tc>
        <w:tc>
          <w:tcPr>
            <w:tcW w:w="494" w:type="dxa"/>
            <w:vAlign w:val="center"/>
          </w:tcPr>
          <w:p w14:paraId="1556B524" w14:textId="77777777" w:rsidR="008C5CEA" w:rsidRDefault="008C5CEA" w:rsidP="009177AB">
            <w:pPr>
              <w:jc w:val="center"/>
            </w:pPr>
          </w:p>
        </w:tc>
        <w:tc>
          <w:tcPr>
            <w:tcW w:w="494" w:type="dxa"/>
            <w:shd w:val="clear" w:color="auto" w:fill="BFBFBF" w:themeFill="background1" w:themeFillShade="BF"/>
            <w:vAlign w:val="center"/>
          </w:tcPr>
          <w:p w14:paraId="3A6FE338" w14:textId="77777777" w:rsidR="008C5CEA" w:rsidRDefault="008C5CEA" w:rsidP="009177AB">
            <w:pPr>
              <w:jc w:val="center"/>
            </w:pPr>
          </w:p>
        </w:tc>
        <w:tc>
          <w:tcPr>
            <w:tcW w:w="494" w:type="dxa"/>
            <w:vAlign w:val="center"/>
          </w:tcPr>
          <w:p w14:paraId="716CBD92" w14:textId="77777777" w:rsidR="008C5CEA" w:rsidRDefault="008C5CEA" w:rsidP="009177AB">
            <w:pPr>
              <w:jc w:val="center"/>
            </w:pPr>
          </w:p>
        </w:tc>
        <w:tc>
          <w:tcPr>
            <w:tcW w:w="494" w:type="dxa"/>
            <w:vAlign w:val="center"/>
          </w:tcPr>
          <w:p w14:paraId="73B18F42" w14:textId="77777777" w:rsidR="008C5CEA" w:rsidRDefault="008C5CEA" w:rsidP="009177AB">
            <w:pPr>
              <w:jc w:val="center"/>
            </w:pPr>
          </w:p>
        </w:tc>
        <w:tc>
          <w:tcPr>
            <w:tcW w:w="494" w:type="dxa"/>
            <w:vAlign w:val="center"/>
          </w:tcPr>
          <w:p w14:paraId="7DD1D5AD" w14:textId="77777777" w:rsidR="008C5CEA" w:rsidRDefault="008C5CEA" w:rsidP="009177AB">
            <w:pPr>
              <w:jc w:val="center"/>
            </w:pPr>
          </w:p>
        </w:tc>
      </w:tr>
      <w:tr w:rsidR="008C5CEA" w14:paraId="7BEF013D" w14:textId="77777777" w:rsidTr="005C510F">
        <w:tc>
          <w:tcPr>
            <w:tcW w:w="2014" w:type="dxa"/>
            <w:vMerge/>
            <w:vAlign w:val="center"/>
          </w:tcPr>
          <w:p w14:paraId="5F48101F" w14:textId="77777777" w:rsidR="008C5CEA" w:rsidRDefault="008C5CEA" w:rsidP="00914204"/>
        </w:tc>
        <w:tc>
          <w:tcPr>
            <w:tcW w:w="2039" w:type="dxa"/>
            <w:vAlign w:val="center"/>
          </w:tcPr>
          <w:p w14:paraId="6A9F6547" w14:textId="77777777" w:rsidR="008C5CEA" w:rsidRDefault="008C5CEA" w:rsidP="00914204">
            <w:r>
              <w:t>Monitoring and evaluation</w:t>
            </w:r>
          </w:p>
        </w:tc>
        <w:tc>
          <w:tcPr>
            <w:tcW w:w="1506" w:type="dxa"/>
            <w:vAlign w:val="center"/>
          </w:tcPr>
          <w:p w14:paraId="7FFD43D5" w14:textId="77777777" w:rsidR="008C5CEA" w:rsidRDefault="008C5CEA" w:rsidP="00914204">
            <w:r>
              <w:t>MMDE,</w:t>
            </w:r>
          </w:p>
          <w:p w14:paraId="322049ED" w14:textId="77777777" w:rsidR="008C5CEA" w:rsidRDefault="008C5CEA" w:rsidP="00914204">
            <w:r>
              <w:t>Banks</w:t>
            </w:r>
          </w:p>
        </w:tc>
        <w:tc>
          <w:tcPr>
            <w:tcW w:w="494" w:type="dxa"/>
            <w:vAlign w:val="center"/>
          </w:tcPr>
          <w:p w14:paraId="1BC0D334" w14:textId="77777777" w:rsidR="008C5CEA" w:rsidRDefault="008C5CEA" w:rsidP="009177AB">
            <w:pPr>
              <w:jc w:val="center"/>
            </w:pPr>
          </w:p>
        </w:tc>
        <w:tc>
          <w:tcPr>
            <w:tcW w:w="494" w:type="dxa"/>
            <w:vAlign w:val="center"/>
          </w:tcPr>
          <w:p w14:paraId="4F733E04" w14:textId="77777777" w:rsidR="008C5CEA" w:rsidRDefault="008C5CEA" w:rsidP="009177AB">
            <w:pPr>
              <w:jc w:val="center"/>
            </w:pPr>
          </w:p>
        </w:tc>
        <w:tc>
          <w:tcPr>
            <w:tcW w:w="494" w:type="dxa"/>
            <w:vAlign w:val="center"/>
          </w:tcPr>
          <w:p w14:paraId="131F0E46" w14:textId="77777777" w:rsidR="008C5CEA" w:rsidRDefault="008C5CEA" w:rsidP="009177AB">
            <w:pPr>
              <w:jc w:val="center"/>
            </w:pPr>
          </w:p>
        </w:tc>
        <w:tc>
          <w:tcPr>
            <w:tcW w:w="494" w:type="dxa"/>
            <w:shd w:val="clear" w:color="auto" w:fill="BFBFBF" w:themeFill="background1" w:themeFillShade="BF"/>
            <w:vAlign w:val="center"/>
          </w:tcPr>
          <w:p w14:paraId="29735FB5" w14:textId="77777777" w:rsidR="008C5CEA" w:rsidRDefault="008C5CEA" w:rsidP="009177AB">
            <w:pPr>
              <w:jc w:val="center"/>
            </w:pPr>
          </w:p>
        </w:tc>
        <w:tc>
          <w:tcPr>
            <w:tcW w:w="494" w:type="dxa"/>
            <w:vAlign w:val="center"/>
          </w:tcPr>
          <w:p w14:paraId="4A2B7925" w14:textId="77777777" w:rsidR="008C5CEA" w:rsidRDefault="008C5CEA" w:rsidP="009177AB">
            <w:pPr>
              <w:jc w:val="center"/>
            </w:pPr>
          </w:p>
        </w:tc>
        <w:tc>
          <w:tcPr>
            <w:tcW w:w="494" w:type="dxa"/>
            <w:vAlign w:val="center"/>
          </w:tcPr>
          <w:p w14:paraId="00D36AD8" w14:textId="77777777" w:rsidR="008C5CEA" w:rsidRDefault="008C5CEA" w:rsidP="009177AB">
            <w:pPr>
              <w:jc w:val="center"/>
            </w:pPr>
          </w:p>
        </w:tc>
        <w:tc>
          <w:tcPr>
            <w:tcW w:w="494" w:type="dxa"/>
            <w:vAlign w:val="center"/>
          </w:tcPr>
          <w:p w14:paraId="49B6913F" w14:textId="77777777" w:rsidR="008C5CEA" w:rsidRDefault="008C5CEA" w:rsidP="009177AB">
            <w:pPr>
              <w:jc w:val="center"/>
            </w:pPr>
          </w:p>
        </w:tc>
      </w:tr>
      <w:tr w:rsidR="008D3D43" w14:paraId="64A634FF" w14:textId="77777777" w:rsidTr="008D3D43">
        <w:tc>
          <w:tcPr>
            <w:tcW w:w="2014" w:type="dxa"/>
            <w:vAlign w:val="center"/>
          </w:tcPr>
          <w:p w14:paraId="1B0F8749" w14:textId="77777777" w:rsidR="008D3D43" w:rsidRDefault="008D3D43" w:rsidP="00914204">
            <w:r>
              <w:t>Budget</w:t>
            </w:r>
          </w:p>
        </w:tc>
        <w:tc>
          <w:tcPr>
            <w:tcW w:w="7003" w:type="dxa"/>
            <w:gridSpan w:val="9"/>
            <w:vAlign w:val="center"/>
          </w:tcPr>
          <w:p w14:paraId="3DC5B464" w14:textId="77777777" w:rsidR="008D3D43" w:rsidRDefault="00EB44CB" w:rsidP="008D3D43">
            <w:r>
              <w:t>US$ 50,000</w:t>
            </w:r>
          </w:p>
        </w:tc>
      </w:tr>
      <w:tr w:rsidR="008D3D43" w14:paraId="3CBD5873" w14:textId="77777777" w:rsidTr="008D3D43">
        <w:tc>
          <w:tcPr>
            <w:tcW w:w="2014" w:type="dxa"/>
            <w:vAlign w:val="center"/>
          </w:tcPr>
          <w:p w14:paraId="574BFE37" w14:textId="77777777" w:rsidR="008D3D43" w:rsidRDefault="008D3D43" w:rsidP="00914204">
            <w:r>
              <w:t>Financial result</w:t>
            </w:r>
          </w:p>
        </w:tc>
        <w:tc>
          <w:tcPr>
            <w:tcW w:w="7003" w:type="dxa"/>
            <w:gridSpan w:val="9"/>
            <w:vAlign w:val="center"/>
          </w:tcPr>
          <w:p w14:paraId="19646D2F" w14:textId="77777777" w:rsidR="008D3D43" w:rsidRDefault="00EB44CB" w:rsidP="00E076B0">
            <w:r>
              <w:t xml:space="preserve">US$ </w:t>
            </w:r>
            <w:r w:rsidR="00E076B0">
              <w:t>70</w:t>
            </w:r>
            <w:r>
              <w:t xml:space="preserve"> </w:t>
            </w:r>
            <w:r w:rsidR="00E076B0">
              <w:t>m</w:t>
            </w:r>
            <w:r>
              <w:t xml:space="preserve">illion </w:t>
            </w:r>
            <w:r w:rsidR="00E076B0">
              <w:t>a year</w:t>
            </w:r>
            <w:r>
              <w:t xml:space="preserve">, assuming </w:t>
            </w:r>
            <w:r w:rsidR="00E076B0">
              <w:t>1%</w:t>
            </w:r>
            <w:r w:rsidR="00622AF3">
              <w:t xml:space="preserve"> of the annual remittance flows</w:t>
            </w:r>
            <w:r>
              <w:t xml:space="preserve"> will be voluntarily diverted to the new savings and investment scheme.</w:t>
            </w:r>
          </w:p>
        </w:tc>
      </w:tr>
    </w:tbl>
    <w:p w14:paraId="470EFF81" w14:textId="77777777" w:rsidR="009D5946" w:rsidRDefault="009D5946" w:rsidP="008D23E4">
      <w:pPr>
        <w:pStyle w:val="Heading4"/>
      </w:pPr>
    </w:p>
    <w:p w14:paraId="4FD785D7" w14:textId="77777777" w:rsidR="009D5946" w:rsidRDefault="009D5946" w:rsidP="008D23E4">
      <w:pPr>
        <w:pStyle w:val="Heading4"/>
      </w:pPr>
    </w:p>
    <w:p w14:paraId="46F70C58" w14:textId="1252E45D" w:rsidR="00766D93" w:rsidRPr="00A3580A" w:rsidRDefault="00766D93" w:rsidP="008D23E4">
      <w:pPr>
        <w:pStyle w:val="Heading4"/>
      </w:pPr>
      <w:r w:rsidRPr="00A3580A">
        <w:t>1</w:t>
      </w:r>
      <w:r w:rsidR="002A62AC">
        <w:t>3</w:t>
      </w:r>
      <w:r w:rsidRPr="00A3580A">
        <w:t xml:space="preserve">. </w:t>
      </w:r>
      <w:r w:rsidR="00E3226C">
        <w:t>Strengthen</w:t>
      </w:r>
      <w:r w:rsidR="007F0070">
        <w:t>ing</w:t>
      </w:r>
      <w:r w:rsidR="00E3226C">
        <w:t xml:space="preserve"> </w:t>
      </w:r>
      <w:r w:rsidR="00FD6DB2">
        <w:t xml:space="preserve">the system of </w:t>
      </w:r>
      <w:r w:rsidR="00E3226C">
        <w:t>environmental</w:t>
      </w:r>
      <w:r w:rsidR="00FD6DB2">
        <w:t xml:space="preserve"> penalties</w:t>
      </w:r>
      <w:r w:rsidR="007F0070">
        <w:t xml:space="preserve"> and</w:t>
      </w:r>
      <w:r w:rsidR="006F2D82">
        <w:t xml:space="preserve"> </w:t>
      </w:r>
      <w:r w:rsidR="00E3226C">
        <w:t>enhancing funding</w:t>
      </w:r>
      <w:r w:rsidR="00FD6DB2">
        <w:t xml:space="preserve"> </w:t>
      </w:r>
      <w:r w:rsidR="00E3226C">
        <w:t>for</w:t>
      </w:r>
      <w:r w:rsidR="00FD6DB2">
        <w:t xml:space="preserve"> biodiversity </w:t>
      </w:r>
    </w:p>
    <w:p w14:paraId="0EA15A46" w14:textId="77777777" w:rsidR="00766D93" w:rsidRDefault="00766D93" w:rsidP="00766D93">
      <w:pPr>
        <w:jc w:val="both"/>
      </w:pPr>
      <w:r>
        <w:t>The finance solution is proposed in order to ensure a positive impact on biodiversity through an effective enforcement of environmental penalties and effective utilization of penalty revenues.</w:t>
      </w:r>
    </w:p>
    <w:p w14:paraId="5F10DBC9" w14:textId="77777777" w:rsidR="00766D93" w:rsidRDefault="00766D93" w:rsidP="00766D93">
      <w:pPr>
        <w:jc w:val="both"/>
      </w:pPr>
      <w:r>
        <w:t>Objective</w:t>
      </w:r>
    </w:p>
    <w:p w14:paraId="24CC9C3E" w14:textId="77777777" w:rsidR="00766D93" w:rsidRDefault="00766D93" w:rsidP="00766D93">
      <w:pPr>
        <w:jc w:val="both"/>
      </w:pPr>
      <w:r>
        <w:t xml:space="preserve">To make use of environmental penalties either to increase spending on biodiversity or to reduce </w:t>
      </w:r>
      <w:r w:rsidRPr="00453CD3">
        <w:t>negative impacts on biodiversity</w:t>
      </w:r>
      <w:r>
        <w:t>.</w:t>
      </w:r>
    </w:p>
    <w:p w14:paraId="5892B16A" w14:textId="77777777" w:rsidR="00766D93" w:rsidRDefault="00766D93" w:rsidP="00766D93">
      <w:pPr>
        <w:jc w:val="both"/>
      </w:pPr>
      <w:r>
        <w:t>Description</w:t>
      </w:r>
    </w:p>
    <w:p w14:paraId="0EAD26DF" w14:textId="641D5BE4" w:rsidR="00766D93" w:rsidRDefault="00766D93" w:rsidP="00766D93">
      <w:pPr>
        <w:jc w:val="both"/>
      </w:pPr>
      <w:r>
        <w:t xml:space="preserve">The finance solution is proposed </w:t>
      </w:r>
      <w:r w:rsidR="00987B24">
        <w:t>for</w:t>
      </w:r>
      <w:r>
        <w:t xml:space="preserve"> a </w:t>
      </w:r>
      <w:r w:rsidR="00C651CC">
        <w:t xml:space="preserve">review </w:t>
      </w:r>
      <w:r>
        <w:t>study on the existing environmental penalty mechanisms with underlying institutional and regulatory framework</w:t>
      </w:r>
      <w:r w:rsidR="00987B24">
        <w:t xml:space="preserve"> and to bring about policy recommendations for implementation</w:t>
      </w:r>
      <w:r>
        <w:t xml:space="preserve">. </w:t>
      </w:r>
      <w:r w:rsidR="00F63F9E">
        <w:t xml:space="preserve">Below suggests that a comprehensive study is done first. </w:t>
      </w:r>
    </w:p>
    <w:p w14:paraId="23B8FA0D" w14:textId="3F6628DB" w:rsidR="00766D93" w:rsidRDefault="00766D93" w:rsidP="00766D93">
      <w:pPr>
        <w:jc w:val="both"/>
      </w:pPr>
      <w:r>
        <w:t>With increased demand &amp; pressure on biodiversity and ecosystems, the possibilities for environmental crimes have been increasing. There is a high tendency to increase revenue from environment penalties or to reduce the damage on natural environment. Increased revenue from environmental penalties is expected to mobilize finances for biodiversity conservation. Decreased damage on environment is expected to reduce future cost on biodiversity and ecosystems conservation.</w:t>
      </w:r>
    </w:p>
    <w:p w14:paraId="5530D4F0" w14:textId="6026840A" w:rsidR="001B4410" w:rsidRDefault="00766D93" w:rsidP="00766D93">
      <w:pPr>
        <w:jc w:val="both"/>
      </w:pPr>
      <w:r>
        <w:t>As of now the penalties, fees</w:t>
      </w:r>
      <w:r w:rsidR="00C651CC">
        <w:t>, licenses</w:t>
      </w:r>
      <w:r>
        <w:t xml:space="preserve"> and compensations from environmental damages include: Court fines from law enforcement, Compensation for habitat losses due to development projects, Government income from timber, sand, gravel and other, and Compensation and mitigation from environmental impact assessment (EIA) of the projects. </w:t>
      </w:r>
      <w:r w:rsidR="00673B15">
        <w:t>There is a greater need for a comprehensive review of the overall environment penalty system and to bring about policy recommendations prior to implementing the finance solution. In the first place, there has been no in-depth review of the mechanism aimed at improving the system.</w:t>
      </w:r>
      <w:r w:rsidR="001B4410">
        <w:t xml:space="preserve"> </w:t>
      </w:r>
    </w:p>
    <w:p w14:paraId="40A459D6" w14:textId="5AC43C5F" w:rsidR="008973DD" w:rsidRDefault="008973DD" w:rsidP="00766D93">
      <w:pPr>
        <w:jc w:val="both"/>
      </w:pPr>
      <w:r>
        <w:t xml:space="preserve">Following table developed by Dr. </w:t>
      </w:r>
      <w:proofErr w:type="spellStart"/>
      <w:r>
        <w:t>Jinie</w:t>
      </w:r>
      <w:proofErr w:type="spellEnd"/>
      <w:r>
        <w:t xml:space="preserve"> Dela for the Policies and Institutional Review of BIOFIN </w:t>
      </w:r>
      <w:proofErr w:type="spellStart"/>
      <w:r>
        <w:t>programme</w:t>
      </w:r>
      <w:proofErr w:type="spellEnd"/>
      <w:r>
        <w:t xml:space="preserve"> shows the diversity of different fines, fees, income from issuing permits and licenses, levies and </w:t>
      </w:r>
      <w:proofErr w:type="spellStart"/>
      <w:r>
        <w:t>Cess</w:t>
      </w:r>
      <w:proofErr w:type="spellEnd"/>
      <w:r>
        <w:t>.</w:t>
      </w:r>
    </w:p>
    <w:tbl>
      <w:tblPr>
        <w:tblStyle w:val="TableGrid1"/>
        <w:tblW w:w="10080" w:type="dxa"/>
        <w:tblInd w:w="-18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980"/>
        <w:gridCol w:w="1620"/>
        <w:gridCol w:w="1080"/>
        <w:gridCol w:w="900"/>
        <w:gridCol w:w="720"/>
        <w:gridCol w:w="900"/>
        <w:gridCol w:w="180"/>
        <w:gridCol w:w="720"/>
        <w:gridCol w:w="900"/>
        <w:gridCol w:w="180"/>
        <w:gridCol w:w="180"/>
        <w:gridCol w:w="720"/>
      </w:tblGrid>
      <w:tr w:rsidR="008973DD" w:rsidRPr="002A7044" w14:paraId="33696464" w14:textId="77777777" w:rsidTr="008973DD">
        <w:trPr>
          <w:tblHeader/>
        </w:trPr>
        <w:tc>
          <w:tcPr>
            <w:tcW w:w="1980" w:type="dxa"/>
            <w:tcBorders>
              <w:top w:val="single" w:sz="4" w:space="0" w:color="000000"/>
              <w:left w:val="single" w:sz="4" w:space="0" w:color="FFFFFF"/>
              <w:bottom w:val="single" w:sz="4" w:space="0" w:color="000000"/>
              <w:right w:val="single" w:sz="4" w:space="0" w:color="808080"/>
            </w:tcBorders>
            <w:shd w:val="clear" w:color="auto" w:fill="008080"/>
            <w:vAlign w:val="center"/>
          </w:tcPr>
          <w:p w14:paraId="02D9CEE4" w14:textId="77777777" w:rsidR="008973DD" w:rsidRPr="008973DD" w:rsidRDefault="008973DD" w:rsidP="00791098">
            <w:pPr>
              <w:pStyle w:val="Default"/>
              <w:spacing w:before="80"/>
              <w:jc w:val="center"/>
              <w:rPr>
                <w:rFonts w:asciiTheme="minorHAnsi" w:hAnsiTheme="minorHAnsi" w:cstheme="minorHAnsi"/>
                <w:b/>
                <w:bCs/>
                <w:color w:val="FFFFFF"/>
                <w:sz w:val="20"/>
                <w:szCs w:val="20"/>
              </w:rPr>
            </w:pPr>
            <w:r w:rsidRPr="008973DD">
              <w:rPr>
                <w:rFonts w:asciiTheme="minorHAnsi" w:hAnsiTheme="minorHAnsi" w:cstheme="minorHAnsi"/>
                <w:b/>
                <w:bCs/>
                <w:color w:val="FFFFFF"/>
                <w:sz w:val="20"/>
                <w:szCs w:val="20"/>
              </w:rPr>
              <w:t>Act</w:t>
            </w:r>
          </w:p>
        </w:tc>
        <w:tc>
          <w:tcPr>
            <w:tcW w:w="1620" w:type="dxa"/>
            <w:tcBorders>
              <w:top w:val="single" w:sz="4" w:space="0" w:color="000000"/>
              <w:left w:val="single" w:sz="4" w:space="0" w:color="808080"/>
              <w:bottom w:val="single" w:sz="4" w:space="0" w:color="000000"/>
              <w:right w:val="single" w:sz="4" w:space="0" w:color="808080"/>
            </w:tcBorders>
            <w:shd w:val="clear" w:color="auto" w:fill="008080"/>
            <w:vAlign w:val="center"/>
          </w:tcPr>
          <w:p w14:paraId="78E2BB1F" w14:textId="77777777" w:rsidR="008973DD" w:rsidRPr="008973DD" w:rsidRDefault="008973DD" w:rsidP="00791098">
            <w:pPr>
              <w:pStyle w:val="Default"/>
              <w:spacing w:before="80"/>
              <w:jc w:val="center"/>
              <w:rPr>
                <w:rFonts w:asciiTheme="minorHAnsi" w:hAnsiTheme="minorHAnsi" w:cstheme="minorHAnsi"/>
                <w:b/>
                <w:bCs/>
                <w:color w:val="FFFFFF"/>
                <w:sz w:val="20"/>
                <w:szCs w:val="20"/>
              </w:rPr>
            </w:pPr>
            <w:r w:rsidRPr="008973DD">
              <w:rPr>
                <w:rFonts w:asciiTheme="minorHAnsi" w:hAnsiTheme="minorHAnsi" w:cstheme="minorHAnsi"/>
                <w:b/>
                <w:bCs/>
                <w:color w:val="FFFFFF"/>
                <w:sz w:val="20"/>
                <w:szCs w:val="20"/>
              </w:rPr>
              <w:t>Implementing Agency</w:t>
            </w:r>
          </w:p>
        </w:tc>
        <w:tc>
          <w:tcPr>
            <w:tcW w:w="1080" w:type="dxa"/>
            <w:tcBorders>
              <w:top w:val="single" w:sz="4" w:space="0" w:color="000000"/>
              <w:left w:val="single" w:sz="4" w:space="0" w:color="808080"/>
              <w:bottom w:val="single" w:sz="4" w:space="0" w:color="000000"/>
              <w:right w:val="single" w:sz="4" w:space="0" w:color="808080"/>
            </w:tcBorders>
            <w:shd w:val="clear" w:color="auto" w:fill="008080"/>
            <w:vAlign w:val="center"/>
          </w:tcPr>
          <w:p w14:paraId="2D31913D" w14:textId="77777777" w:rsidR="008973DD" w:rsidRPr="008973DD" w:rsidRDefault="008973DD" w:rsidP="00791098">
            <w:pPr>
              <w:jc w:val="center"/>
              <w:rPr>
                <w:rFonts w:asciiTheme="minorHAnsi" w:hAnsiTheme="minorHAnsi" w:cstheme="minorHAnsi"/>
                <w:b/>
                <w:bCs/>
                <w:color w:val="FFFFFF"/>
              </w:rPr>
            </w:pPr>
            <w:r w:rsidRPr="008973DD">
              <w:rPr>
                <w:rFonts w:asciiTheme="minorHAnsi" w:hAnsiTheme="minorHAnsi" w:cstheme="minorHAnsi"/>
                <w:b/>
                <w:bCs/>
                <w:color w:val="FFFFFF"/>
              </w:rPr>
              <w:t>Fund</w:t>
            </w:r>
          </w:p>
        </w:tc>
        <w:tc>
          <w:tcPr>
            <w:tcW w:w="900" w:type="dxa"/>
            <w:tcBorders>
              <w:top w:val="single" w:sz="4" w:space="0" w:color="000000"/>
              <w:left w:val="single" w:sz="4" w:space="0" w:color="808080"/>
              <w:bottom w:val="single" w:sz="4" w:space="0" w:color="000000"/>
              <w:right w:val="single" w:sz="4" w:space="0" w:color="808080"/>
            </w:tcBorders>
            <w:shd w:val="clear" w:color="auto" w:fill="008080"/>
            <w:vAlign w:val="center"/>
          </w:tcPr>
          <w:p w14:paraId="619DA29B" w14:textId="77777777" w:rsidR="008973DD" w:rsidRPr="008973DD" w:rsidRDefault="008973DD" w:rsidP="00791098">
            <w:pPr>
              <w:spacing w:before="120" w:after="120"/>
              <w:jc w:val="center"/>
              <w:rPr>
                <w:rFonts w:asciiTheme="minorHAnsi" w:hAnsiTheme="minorHAnsi" w:cstheme="minorHAnsi"/>
                <w:b/>
                <w:bCs/>
                <w:color w:val="FFFFFF"/>
              </w:rPr>
            </w:pPr>
            <w:r w:rsidRPr="008973DD">
              <w:rPr>
                <w:rFonts w:asciiTheme="minorHAnsi" w:hAnsiTheme="minorHAnsi" w:cstheme="minorHAnsi"/>
                <w:b/>
                <w:bCs/>
                <w:color w:val="FFFFFF"/>
              </w:rPr>
              <w:t>Fines</w:t>
            </w:r>
          </w:p>
        </w:tc>
        <w:tc>
          <w:tcPr>
            <w:tcW w:w="720" w:type="dxa"/>
            <w:tcBorders>
              <w:top w:val="single" w:sz="4" w:space="0" w:color="000000"/>
              <w:left w:val="single" w:sz="4" w:space="0" w:color="808080"/>
              <w:bottom w:val="single" w:sz="4" w:space="0" w:color="000000"/>
              <w:right w:val="single" w:sz="4" w:space="0" w:color="808080"/>
            </w:tcBorders>
            <w:shd w:val="clear" w:color="auto" w:fill="008080"/>
            <w:vAlign w:val="center"/>
          </w:tcPr>
          <w:p w14:paraId="7773FF27" w14:textId="77777777" w:rsidR="008973DD" w:rsidRPr="008973DD" w:rsidRDefault="008973DD" w:rsidP="00791098">
            <w:pPr>
              <w:spacing w:before="120" w:after="120"/>
              <w:jc w:val="center"/>
              <w:rPr>
                <w:rFonts w:asciiTheme="minorHAnsi" w:hAnsiTheme="minorHAnsi" w:cstheme="minorHAnsi"/>
                <w:b/>
                <w:bCs/>
                <w:color w:val="FFFFFF"/>
              </w:rPr>
            </w:pPr>
            <w:r w:rsidRPr="008973DD">
              <w:rPr>
                <w:rFonts w:asciiTheme="minorHAnsi" w:hAnsiTheme="minorHAnsi" w:cstheme="minorHAnsi"/>
                <w:b/>
                <w:bCs/>
                <w:color w:val="FFFFFF"/>
              </w:rPr>
              <w:t>Fees</w:t>
            </w:r>
          </w:p>
        </w:tc>
        <w:tc>
          <w:tcPr>
            <w:tcW w:w="1080" w:type="dxa"/>
            <w:gridSpan w:val="2"/>
            <w:tcBorders>
              <w:top w:val="single" w:sz="4" w:space="0" w:color="000000"/>
              <w:left w:val="single" w:sz="4" w:space="0" w:color="808080"/>
              <w:bottom w:val="single" w:sz="4" w:space="0" w:color="000000"/>
              <w:right w:val="single" w:sz="4" w:space="0" w:color="808080"/>
            </w:tcBorders>
            <w:shd w:val="clear" w:color="auto" w:fill="008080"/>
            <w:vAlign w:val="center"/>
          </w:tcPr>
          <w:p w14:paraId="38107C1F" w14:textId="77777777" w:rsidR="008973DD" w:rsidRPr="008973DD" w:rsidRDefault="008973DD" w:rsidP="00791098">
            <w:pPr>
              <w:spacing w:before="120" w:after="120"/>
              <w:jc w:val="center"/>
              <w:rPr>
                <w:rFonts w:asciiTheme="minorHAnsi" w:hAnsiTheme="minorHAnsi" w:cstheme="minorHAnsi"/>
                <w:b/>
                <w:bCs/>
                <w:color w:val="FFFFFF"/>
              </w:rPr>
            </w:pPr>
            <w:proofErr w:type="spellStart"/>
            <w:r w:rsidRPr="008973DD">
              <w:rPr>
                <w:rFonts w:asciiTheme="minorHAnsi" w:hAnsiTheme="minorHAnsi" w:cstheme="minorHAnsi"/>
                <w:b/>
                <w:bCs/>
                <w:color w:val="FFFFFF"/>
              </w:rPr>
              <w:t>Cess</w:t>
            </w:r>
            <w:proofErr w:type="spellEnd"/>
          </w:p>
        </w:tc>
        <w:tc>
          <w:tcPr>
            <w:tcW w:w="720" w:type="dxa"/>
            <w:tcBorders>
              <w:top w:val="single" w:sz="4" w:space="0" w:color="000000"/>
              <w:left w:val="single" w:sz="4" w:space="0" w:color="808080"/>
              <w:bottom w:val="single" w:sz="4" w:space="0" w:color="000000"/>
              <w:right w:val="single" w:sz="4" w:space="0" w:color="808080"/>
            </w:tcBorders>
            <w:shd w:val="clear" w:color="auto" w:fill="008080"/>
            <w:vAlign w:val="center"/>
          </w:tcPr>
          <w:p w14:paraId="6B767BF7" w14:textId="77777777" w:rsidR="008973DD" w:rsidRPr="008973DD" w:rsidRDefault="008973DD" w:rsidP="00791098">
            <w:pPr>
              <w:spacing w:before="120" w:after="120"/>
              <w:jc w:val="center"/>
              <w:rPr>
                <w:rFonts w:asciiTheme="minorHAnsi" w:hAnsiTheme="minorHAnsi" w:cstheme="minorHAnsi"/>
                <w:b/>
                <w:bCs/>
                <w:color w:val="FFFFFF"/>
              </w:rPr>
            </w:pPr>
            <w:r w:rsidRPr="008973DD">
              <w:rPr>
                <w:rFonts w:asciiTheme="minorHAnsi" w:hAnsiTheme="minorHAnsi" w:cstheme="minorHAnsi"/>
                <w:b/>
                <w:bCs/>
                <w:color w:val="FFFFFF"/>
              </w:rPr>
              <w:t>Sales</w:t>
            </w:r>
          </w:p>
        </w:tc>
        <w:tc>
          <w:tcPr>
            <w:tcW w:w="1260" w:type="dxa"/>
            <w:gridSpan w:val="3"/>
            <w:tcBorders>
              <w:top w:val="single" w:sz="4" w:space="0" w:color="000000"/>
              <w:left w:val="single" w:sz="4" w:space="0" w:color="808080"/>
              <w:bottom w:val="single" w:sz="4" w:space="0" w:color="000000"/>
              <w:right w:val="single" w:sz="4" w:space="0" w:color="FFFFFF"/>
            </w:tcBorders>
            <w:shd w:val="clear" w:color="auto" w:fill="008080"/>
            <w:vAlign w:val="center"/>
          </w:tcPr>
          <w:p w14:paraId="3B7E903E" w14:textId="77777777" w:rsidR="008973DD" w:rsidRPr="008973DD" w:rsidRDefault="008973DD" w:rsidP="00791098">
            <w:pPr>
              <w:spacing w:before="120"/>
              <w:jc w:val="center"/>
              <w:rPr>
                <w:rFonts w:asciiTheme="minorHAnsi" w:hAnsiTheme="minorHAnsi" w:cstheme="minorHAnsi"/>
                <w:b/>
                <w:bCs/>
                <w:color w:val="FFFFFF"/>
              </w:rPr>
            </w:pPr>
            <w:r w:rsidRPr="008973DD">
              <w:rPr>
                <w:rFonts w:asciiTheme="minorHAnsi" w:hAnsiTheme="minorHAnsi" w:cstheme="minorHAnsi"/>
                <w:b/>
                <w:bCs/>
                <w:color w:val="FFFFFF"/>
              </w:rPr>
              <w:t>Permits/</w:t>
            </w:r>
          </w:p>
          <w:p w14:paraId="01706861" w14:textId="77777777" w:rsidR="008973DD" w:rsidRPr="008973DD" w:rsidRDefault="008973DD" w:rsidP="00791098">
            <w:pPr>
              <w:spacing w:after="120"/>
              <w:jc w:val="center"/>
              <w:rPr>
                <w:rFonts w:asciiTheme="minorHAnsi" w:hAnsiTheme="minorHAnsi" w:cstheme="minorHAnsi"/>
                <w:b/>
                <w:bCs/>
                <w:color w:val="FFFFFF"/>
              </w:rPr>
            </w:pPr>
            <w:r w:rsidRPr="008973DD">
              <w:rPr>
                <w:rFonts w:asciiTheme="minorHAnsi" w:hAnsiTheme="minorHAnsi" w:cstheme="minorHAnsi"/>
                <w:b/>
                <w:bCs/>
                <w:color w:val="FFFFFF"/>
              </w:rPr>
              <w:t>Licenses</w:t>
            </w:r>
          </w:p>
        </w:tc>
        <w:tc>
          <w:tcPr>
            <w:tcW w:w="720" w:type="dxa"/>
            <w:tcBorders>
              <w:left w:val="single" w:sz="4" w:space="0" w:color="FFFFFF"/>
            </w:tcBorders>
            <w:shd w:val="clear" w:color="auto" w:fill="008080"/>
            <w:vAlign w:val="center"/>
          </w:tcPr>
          <w:p w14:paraId="5060FA26" w14:textId="77777777" w:rsidR="008973DD" w:rsidRPr="008973DD" w:rsidRDefault="008973DD" w:rsidP="00791098">
            <w:pPr>
              <w:spacing w:before="120"/>
              <w:jc w:val="center"/>
              <w:rPr>
                <w:rFonts w:asciiTheme="minorHAnsi" w:hAnsiTheme="minorHAnsi" w:cstheme="minorHAnsi"/>
                <w:b/>
                <w:bCs/>
                <w:color w:val="FFFFFF"/>
              </w:rPr>
            </w:pPr>
            <w:r w:rsidRPr="008973DD">
              <w:rPr>
                <w:rFonts w:asciiTheme="minorHAnsi" w:hAnsiTheme="minorHAnsi" w:cstheme="minorHAnsi"/>
                <w:b/>
                <w:bCs/>
                <w:color w:val="FFFFFF"/>
              </w:rPr>
              <w:t xml:space="preserve">Levy </w:t>
            </w:r>
          </w:p>
        </w:tc>
      </w:tr>
      <w:tr w:rsidR="008973DD" w:rsidRPr="002A7044" w14:paraId="6862D27A"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6D3D146F" w14:textId="77777777" w:rsidR="008973DD" w:rsidRPr="008973DD" w:rsidRDefault="008973DD" w:rsidP="00791098">
            <w:pPr>
              <w:pStyle w:val="Default"/>
              <w:ind w:left="72"/>
              <w:rPr>
                <w:rFonts w:asciiTheme="minorHAnsi" w:hAnsiTheme="minorHAnsi" w:cstheme="minorHAnsi"/>
                <w:sz w:val="20"/>
                <w:szCs w:val="20"/>
              </w:rPr>
            </w:pPr>
          </w:p>
          <w:p w14:paraId="5B45EACC" w14:textId="77777777" w:rsidR="008973DD" w:rsidRPr="008973DD" w:rsidRDefault="008973DD" w:rsidP="00791098">
            <w:pPr>
              <w:pStyle w:val="Default"/>
              <w:ind w:left="72"/>
              <w:rPr>
                <w:rFonts w:asciiTheme="minorHAnsi" w:hAnsiTheme="minorHAnsi" w:cstheme="minorHAnsi"/>
                <w:sz w:val="20"/>
                <w:szCs w:val="20"/>
              </w:rPr>
            </w:pPr>
            <w:r w:rsidRPr="008973DD">
              <w:rPr>
                <w:rFonts w:asciiTheme="minorHAnsi" w:hAnsiTheme="minorHAnsi" w:cstheme="minorHAnsi"/>
                <w:sz w:val="20"/>
                <w:szCs w:val="20"/>
              </w:rPr>
              <w:t xml:space="preserve">The National Environmental Act, No.47 of 1980 and its amendments </w:t>
            </w:r>
          </w:p>
        </w:tc>
        <w:tc>
          <w:tcPr>
            <w:tcW w:w="1620" w:type="dxa"/>
            <w:tcBorders>
              <w:top w:val="single" w:sz="4" w:space="0" w:color="000000"/>
              <w:left w:val="single" w:sz="4" w:space="0" w:color="808080"/>
              <w:bottom w:val="single" w:sz="4" w:space="0" w:color="000000"/>
              <w:right w:val="single" w:sz="4" w:space="0" w:color="808080"/>
            </w:tcBorders>
          </w:tcPr>
          <w:p w14:paraId="244D7358" w14:textId="77777777" w:rsidR="008973DD" w:rsidRPr="008973DD" w:rsidRDefault="008973DD" w:rsidP="00791098">
            <w:pPr>
              <w:pStyle w:val="Default"/>
              <w:rPr>
                <w:rFonts w:asciiTheme="minorHAnsi" w:hAnsiTheme="minorHAnsi" w:cstheme="minorHAnsi"/>
                <w:sz w:val="20"/>
                <w:szCs w:val="20"/>
              </w:rPr>
            </w:pPr>
          </w:p>
          <w:p w14:paraId="4A4ECBA3" w14:textId="77777777" w:rsidR="008973DD" w:rsidRPr="008973DD" w:rsidRDefault="008973DD" w:rsidP="00791098">
            <w:pPr>
              <w:pStyle w:val="Default"/>
              <w:rPr>
                <w:rFonts w:asciiTheme="minorHAnsi" w:hAnsiTheme="minorHAnsi" w:cstheme="minorHAnsi"/>
                <w:sz w:val="20"/>
                <w:szCs w:val="20"/>
              </w:rPr>
            </w:pPr>
            <w:r w:rsidRPr="008973DD">
              <w:rPr>
                <w:rFonts w:asciiTheme="minorHAnsi" w:hAnsiTheme="minorHAnsi" w:cstheme="minorHAnsi"/>
                <w:sz w:val="20"/>
                <w:szCs w:val="20"/>
              </w:rPr>
              <w:t xml:space="preserve">CEA    </w:t>
            </w:r>
          </w:p>
          <w:p w14:paraId="4BE70FCB"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 </w:t>
            </w:r>
          </w:p>
        </w:tc>
        <w:tc>
          <w:tcPr>
            <w:tcW w:w="1080" w:type="dxa"/>
            <w:tcBorders>
              <w:top w:val="single" w:sz="4" w:space="0" w:color="000000"/>
              <w:left w:val="single" w:sz="4" w:space="0" w:color="808080"/>
              <w:bottom w:val="single" w:sz="4" w:space="0" w:color="000000"/>
              <w:right w:val="single" w:sz="4" w:space="0" w:color="808080"/>
            </w:tcBorders>
          </w:tcPr>
          <w:p w14:paraId="7A55C7F1" w14:textId="77777777" w:rsidR="008973DD" w:rsidRPr="008973DD" w:rsidRDefault="008973DD" w:rsidP="00791098">
            <w:pPr>
              <w:pStyle w:val="Default"/>
              <w:rPr>
                <w:rFonts w:asciiTheme="minorHAnsi" w:hAnsiTheme="minorHAnsi" w:cstheme="minorHAnsi"/>
                <w:sz w:val="20"/>
                <w:szCs w:val="20"/>
              </w:rPr>
            </w:pPr>
            <w:r w:rsidRPr="008973DD">
              <w:rPr>
                <w:rFonts w:asciiTheme="minorHAnsi" w:hAnsiTheme="minorHAnsi" w:cstheme="minorHAnsi"/>
                <w:sz w:val="20"/>
                <w:szCs w:val="20"/>
              </w:rPr>
              <w:t xml:space="preserve"> </w:t>
            </w:r>
          </w:p>
          <w:p w14:paraId="47E469A7" w14:textId="77777777" w:rsidR="008973DD" w:rsidRPr="008973DD" w:rsidRDefault="008973DD" w:rsidP="00791098">
            <w:pPr>
              <w:pStyle w:val="Default"/>
              <w:rPr>
                <w:rFonts w:asciiTheme="minorHAnsi" w:hAnsiTheme="minorHAnsi" w:cstheme="minorHAnsi"/>
                <w:sz w:val="20"/>
                <w:szCs w:val="20"/>
              </w:rPr>
            </w:pPr>
            <w:r w:rsidRPr="008973DD">
              <w:rPr>
                <w:rFonts w:asciiTheme="minorHAnsi" w:hAnsiTheme="minorHAnsi" w:cstheme="minorHAnsi"/>
                <w:sz w:val="20"/>
                <w:szCs w:val="20"/>
              </w:rPr>
              <w:t>CEA fund</w:t>
            </w:r>
          </w:p>
          <w:p w14:paraId="20B6044F"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0E0E0"/>
          </w:tcPr>
          <w:p w14:paraId="01D01FF9" w14:textId="77777777" w:rsidR="008973DD" w:rsidRPr="008973DD" w:rsidRDefault="008973DD" w:rsidP="00791098">
            <w:pPr>
              <w:jc w:val="center"/>
              <w:rPr>
                <w:rFonts w:asciiTheme="minorHAnsi" w:hAnsiTheme="minorHAnsi" w:cstheme="minorHAnsi"/>
                <w:color w:val="000000"/>
              </w:rPr>
            </w:pPr>
          </w:p>
          <w:p w14:paraId="28673BB2"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shd w:val="clear" w:color="auto" w:fill="E0E0E0"/>
          </w:tcPr>
          <w:p w14:paraId="1B69E3E6" w14:textId="77777777" w:rsidR="008973DD" w:rsidRPr="008973DD" w:rsidRDefault="008973DD" w:rsidP="00791098">
            <w:pPr>
              <w:jc w:val="center"/>
              <w:rPr>
                <w:rFonts w:asciiTheme="minorHAnsi" w:hAnsiTheme="minorHAnsi" w:cstheme="minorHAnsi"/>
                <w:color w:val="000000"/>
              </w:rPr>
            </w:pPr>
          </w:p>
          <w:p w14:paraId="4858BCEE"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1080" w:type="dxa"/>
            <w:gridSpan w:val="2"/>
            <w:tcBorders>
              <w:top w:val="single" w:sz="4" w:space="0" w:color="000000"/>
              <w:left w:val="single" w:sz="4" w:space="0" w:color="808080"/>
              <w:bottom w:val="single" w:sz="4" w:space="0" w:color="000000"/>
              <w:right w:val="single" w:sz="4" w:space="0" w:color="808080"/>
            </w:tcBorders>
          </w:tcPr>
          <w:p w14:paraId="0F54D027" w14:textId="77777777" w:rsidR="008973DD" w:rsidRPr="008973DD" w:rsidRDefault="008973DD" w:rsidP="00791098">
            <w:pP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tcPr>
          <w:p w14:paraId="43C22BE7" w14:textId="77777777" w:rsidR="008973DD" w:rsidRPr="008973DD" w:rsidRDefault="008973DD" w:rsidP="00791098">
            <w:pPr>
              <w:rPr>
                <w:rFonts w:asciiTheme="minorHAnsi" w:hAnsiTheme="minorHAnsi" w:cstheme="minorHAnsi"/>
                <w:color w:val="000000"/>
              </w:rPr>
            </w:pPr>
          </w:p>
        </w:tc>
        <w:tc>
          <w:tcPr>
            <w:tcW w:w="1980" w:type="dxa"/>
            <w:gridSpan w:val="4"/>
            <w:tcBorders>
              <w:top w:val="single" w:sz="4" w:space="0" w:color="000000"/>
              <w:left w:val="single" w:sz="4" w:space="0" w:color="808080"/>
              <w:bottom w:val="single" w:sz="4" w:space="0" w:color="000000"/>
              <w:right w:val="single" w:sz="4" w:space="0" w:color="FFFFFF"/>
            </w:tcBorders>
            <w:shd w:val="clear" w:color="auto" w:fill="E0E0E0"/>
          </w:tcPr>
          <w:p w14:paraId="0B1B1E8E" w14:textId="77777777" w:rsidR="008973DD" w:rsidRPr="008973DD" w:rsidRDefault="008973DD" w:rsidP="00791098">
            <w:pPr>
              <w:rPr>
                <w:rFonts w:asciiTheme="minorHAnsi" w:hAnsiTheme="minorHAnsi" w:cstheme="minorHAnsi"/>
                <w:color w:val="000080"/>
                <w:lang w:bidi="si-LK"/>
              </w:rPr>
            </w:pPr>
          </w:p>
          <w:p w14:paraId="2A6FD4B3" w14:textId="77777777" w:rsidR="008973DD" w:rsidRPr="008973DD" w:rsidRDefault="008973DD" w:rsidP="00791098">
            <w:pPr>
              <w:rPr>
                <w:rFonts w:asciiTheme="minorHAnsi" w:hAnsiTheme="minorHAnsi" w:cstheme="minorHAnsi"/>
                <w:color w:val="000080"/>
                <w:lang w:bidi="si-LK"/>
              </w:rPr>
            </w:pPr>
            <w:r w:rsidRPr="008973DD">
              <w:rPr>
                <w:rFonts w:asciiTheme="minorHAnsi" w:hAnsiTheme="minorHAnsi" w:cstheme="minorHAnsi"/>
                <w:color w:val="000080"/>
                <w:lang w:bidi="si-LK"/>
              </w:rPr>
              <w:t>x</w:t>
            </w:r>
          </w:p>
          <w:p w14:paraId="1F3FA9D3" w14:textId="77777777" w:rsidR="008973DD" w:rsidRPr="008973DD" w:rsidRDefault="008973DD" w:rsidP="00791098">
            <w:pPr>
              <w:rPr>
                <w:rFonts w:asciiTheme="minorHAnsi" w:hAnsiTheme="minorHAnsi" w:cstheme="minorHAnsi"/>
                <w:color w:val="003366"/>
              </w:rPr>
            </w:pPr>
            <w:r w:rsidRPr="008973DD">
              <w:rPr>
                <w:rFonts w:asciiTheme="minorHAnsi" w:hAnsiTheme="minorHAnsi" w:cstheme="minorHAnsi"/>
                <w:color w:val="003366"/>
                <w:lang w:bidi="si-LK"/>
              </w:rPr>
              <w:t xml:space="preserve">The Minister may also make regulations in respect of: (a) levy of fees and issue of licenses </w:t>
            </w:r>
          </w:p>
        </w:tc>
      </w:tr>
      <w:tr w:rsidR="008973DD" w:rsidRPr="002A7044" w14:paraId="122FC1EB"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32316F75" w14:textId="77777777" w:rsidR="008973DD" w:rsidRPr="008973DD" w:rsidRDefault="008973DD" w:rsidP="00791098">
            <w:pPr>
              <w:autoSpaceDE w:val="0"/>
              <w:autoSpaceDN w:val="0"/>
              <w:adjustRightInd w:val="0"/>
              <w:ind w:left="72"/>
              <w:rPr>
                <w:rFonts w:asciiTheme="minorHAnsi" w:hAnsiTheme="minorHAnsi" w:cstheme="minorHAnsi"/>
                <w:color w:val="000000"/>
                <w:lang w:bidi="si-LK"/>
              </w:rPr>
            </w:pPr>
          </w:p>
          <w:p w14:paraId="2D8DACE1" w14:textId="77777777" w:rsidR="008973DD" w:rsidRPr="008973DD" w:rsidRDefault="008973DD" w:rsidP="00791098">
            <w:pPr>
              <w:autoSpaceDE w:val="0"/>
              <w:autoSpaceDN w:val="0"/>
              <w:adjustRightInd w:val="0"/>
              <w:ind w:left="72"/>
              <w:rPr>
                <w:rFonts w:asciiTheme="minorHAnsi" w:hAnsiTheme="minorHAnsi" w:cstheme="minorHAnsi"/>
                <w:color w:val="000000"/>
                <w:lang w:bidi="si-LK"/>
              </w:rPr>
            </w:pPr>
            <w:r w:rsidRPr="008973DD">
              <w:rPr>
                <w:rFonts w:asciiTheme="minorHAnsi" w:hAnsiTheme="minorHAnsi" w:cstheme="minorHAnsi"/>
                <w:color w:val="000000"/>
                <w:lang w:bidi="si-LK"/>
              </w:rPr>
              <w:t>Environment Conservation Levy Act, No. 26 of 2008</w:t>
            </w:r>
          </w:p>
          <w:p w14:paraId="2F2DF141" w14:textId="77777777" w:rsidR="008973DD" w:rsidRPr="008973DD" w:rsidRDefault="008973DD" w:rsidP="00791098">
            <w:pPr>
              <w:pStyle w:val="Default"/>
              <w:spacing w:before="120"/>
              <w:ind w:left="72"/>
              <w:rPr>
                <w:rFonts w:asciiTheme="minorHAnsi" w:hAnsiTheme="minorHAnsi" w:cstheme="minorHAnsi"/>
                <w:sz w:val="20"/>
                <w:szCs w:val="20"/>
              </w:rPr>
            </w:pPr>
          </w:p>
          <w:p w14:paraId="108D2953" w14:textId="77777777" w:rsidR="008973DD" w:rsidRPr="008973DD" w:rsidRDefault="008973DD" w:rsidP="00791098">
            <w:pPr>
              <w:pStyle w:val="Default"/>
              <w:spacing w:before="120"/>
              <w:ind w:left="72"/>
              <w:rPr>
                <w:rFonts w:asciiTheme="minorHAnsi" w:hAnsiTheme="minorHAnsi" w:cstheme="minorHAnsi"/>
                <w:sz w:val="20"/>
                <w:szCs w:val="20"/>
              </w:rPr>
            </w:pPr>
          </w:p>
        </w:tc>
        <w:tc>
          <w:tcPr>
            <w:tcW w:w="1620" w:type="dxa"/>
            <w:tcBorders>
              <w:top w:val="single" w:sz="4" w:space="0" w:color="000000"/>
              <w:left w:val="single" w:sz="4" w:space="0" w:color="808080"/>
              <w:bottom w:val="single" w:sz="4" w:space="0" w:color="000000"/>
              <w:right w:val="single" w:sz="4" w:space="0" w:color="808080"/>
            </w:tcBorders>
          </w:tcPr>
          <w:p w14:paraId="12771F69" w14:textId="77777777" w:rsidR="008973DD" w:rsidRPr="008973DD" w:rsidRDefault="008973DD" w:rsidP="00791098">
            <w:pPr>
              <w:pStyle w:val="Default"/>
              <w:rPr>
                <w:rFonts w:asciiTheme="minorHAnsi" w:hAnsiTheme="minorHAnsi" w:cstheme="minorHAnsi"/>
                <w:b/>
                <w:bCs/>
                <w:sz w:val="20"/>
                <w:szCs w:val="20"/>
              </w:rPr>
            </w:pPr>
          </w:p>
          <w:p w14:paraId="7EFCB2D7" w14:textId="77777777" w:rsidR="008973DD" w:rsidRPr="008973DD" w:rsidRDefault="008973DD" w:rsidP="00791098">
            <w:pPr>
              <w:pStyle w:val="Default"/>
              <w:rPr>
                <w:rFonts w:asciiTheme="minorHAnsi" w:hAnsiTheme="minorHAnsi" w:cstheme="minorHAnsi"/>
                <w:sz w:val="20"/>
                <w:szCs w:val="20"/>
              </w:rPr>
            </w:pPr>
            <w:r w:rsidRPr="008973DD">
              <w:rPr>
                <w:rFonts w:asciiTheme="minorHAnsi" w:hAnsiTheme="minorHAnsi" w:cstheme="minorHAnsi"/>
                <w:sz w:val="20"/>
                <w:szCs w:val="20"/>
              </w:rPr>
              <w:t>CEA</w:t>
            </w:r>
          </w:p>
        </w:tc>
        <w:tc>
          <w:tcPr>
            <w:tcW w:w="1080" w:type="dxa"/>
            <w:tcBorders>
              <w:top w:val="single" w:sz="4" w:space="0" w:color="000000"/>
              <w:left w:val="single" w:sz="4" w:space="0" w:color="808080"/>
              <w:bottom w:val="single" w:sz="4" w:space="0" w:color="000000"/>
              <w:right w:val="single" w:sz="4" w:space="0" w:color="808080"/>
            </w:tcBorders>
          </w:tcPr>
          <w:p w14:paraId="3F65EF0C" w14:textId="77777777" w:rsidR="008973DD" w:rsidRPr="008973DD" w:rsidRDefault="008973DD" w:rsidP="00791098">
            <w:pPr>
              <w:rPr>
                <w:rFonts w:asciiTheme="minorHAnsi" w:hAnsiTheme="minorHAnsi" w:cstheme="minorHAnsi"/>
                <w:color w:val="000000"/>
                <w:lang w:bidi="si-LK"/>
              </w:rPr>
            </w:pPr>
          </w:p>
          <w:p w14:paraId="44906C76" w14:textId="77777777" w:rsidR="008973DD" w:rsidRPr="008973DD" w:rsidRDefault="008973DD" w:rsidP="00791098">
            <w:pPr>
              <w:rPr>
                <w:rFonts w:asciiTheme="minorHAnsi" w:hAnsiTheme="minorHAnsi" w:cstheme="minorHAnsi"/>
                <w:color w:val="000000"/>
                <w:lang w:bidi="si-LK"/>
              </w:rPr>
            </w:pPr>
            <w:r w:rsidRPr="008973DD">
              <w:rPr>
                <w:rFonts w:asciiTheme="minorHAnsi" w:hAnsiTheme="minorHAnsi" w:cstheme="minorHAnsi"/>
                <w:color w:val="000000"/>
                <w:lang w:bidi="si-LK"/>
              </w:rPr>
              <w:t>ECLA</w:t>
            </w:r>
            <w:r w:rsidRPr="008973DD">
              <w:rPr>
                <w:rStyle w:val="FootnoteReference"/>
                <w:rFonts w:asciiTheme="minorHAnsi" w:eastAsiaTheme="majorEastAsia" w:hAnsiTheme="minorHAnsi" w:cstheme="minorHAnsi"/>
                <w:color w:val="000000"/>
                <w:lang w:bidi="si-LK"/>
              </w:rPr>
              <w:footnoteReference w:id="3"/>
            </w:r>
            <w:r w:rsidRPr="008973DD">
              <w:rPr>
                <w:rFonts w:asciiTheme="minorHAnsi" w:hAnsiTheme="minorHAnsi" w:cstheme="minorHAnsi"/>
                <w:color w:val="000000"/>
                <w:lang w:bidi="si-LK"/>
              </w:rPr>
              <w:t xml:space="preserve"> </w:t>
            </w:r>
          </w:p>
          <w:p w14:paraId="739DC12F"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of the Consolidated Fund (CF)</w:t>
            </w: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06090B82"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240B2F34" w14:textId="77777777" w:rsidR="008973DD" w:rsidRPr="008973DD" w:rsidRDefault="008973DD" w:rsidP="00791098">
            <w:pPr>
              <w:jc w:val="cente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5C1EA179" w14:textId="77777777" w:rsidR="008973DD" w:rsidRPr="008973DD" w:rsidRDefault="008973DD" w:rsidP="00791098">
            <w:pP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tcPr>
          <w:p w14:paraId="1E259905"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236C042C" w14:textId="77777777" w:rsidR="008973DD" w:rsidRPr="008973DD" w:rsidRDefault="008973DD" w:rsidP="00791098">
            <w:pPr>
              <w:rPr>
                <w:rFonts w:asciiTheme="minorHAnsi" w:hAnsiTheme="minorHAnsi" w:cstheme="minorHAnsi"/>
                <w:color w:val="000000"/>
              </w:rPr>
            </w:pPr>
          </w:p>
        </w:tc>
        <w:tc>
          <w:tcPr>
            <w:tcW w:w="1080" w:type="dxa"/>
            <w:gridSpan w:val="3"/>
            <w:tcBorders>
              <w:top w:val="single" w:sz="4" w:space="0" w:color="000000"/>
              <w:left w:val="single" w:sz="4" w:space="0" w:color="808080"/>
              <w:bottom w:val="single" w:sz="4" w:space="0" w:color="000000"/>
              <w:right w:val="single" w:sz="4" w:space="0" w:color="FFFFFF"/>
            </w:tcBorders>
            <w:shd w:val="clear" w:color="auto" w:fill="E0E0E0"/>
          </w:tcPr>
          <w:p w14:paraId="01E8DE09" w14:textId="77777777" w:rsidR="008973DD" w:rsidRPr="008973DD" w:rsidRDefault="008973DD" w:rsidP="00791098">
            <w:pPr>
              <w:rPr>
                <w:rFonts w:asciiTheme="minorHAnsi" w:hAnsiTheme="minorHAnsi" w:cstheme="minorHAnsi"/>
                <w:color w:val="000000"/>
              </w:rPr>
            </w:pPr>
          </w:p>
          <w:p w14:paraId="5D9AAEC6"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tc>
      </w:tr>
      <w:tr w:rsidR="008973DD" w:rsidRPr="002A7044" w14:paraId="14C73239"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4D2F12A3" w14:textId="77777777" w:rsidR="008973DD" w:rsidRPr="008973DD" w:rsidRDefault="008973DD" w:rsidP="00791098">
            <w:pPr>
              <w:ind w:left="72"/>
              <w:rPr>
                <w:rFonts w:asciiTheme="minorHAnsi" w:hAnsiTheme="minorHAnsi" w:cstheme="minorHAnsi"/>
                <w:color w:val="000000"/>
              </w:rPr>
            </w:pPr>
            <w:r w:rsidRPr="008973DD">
              <w:rPr>
                <w:rFonts w:asciiTheme="minorHAnsi" w:hAnsiTheme="minorHAnsi" w:cstheme="minorHAnsi"/>
                <w:color w:val="000000"/>
              </w:rPr>
              <w:t xml:space="preserve">Fauna and Flora Protection Ordinance and its amendments </w:t>
            </w:r>
          </w:p>
        </w:tc>
        <w:tc>
          <w:tcPr>
            <w:tcW w:w="1620" w:type="dxa"/>
            <w:tcBorders>
              <w:top w:val="single" w:sz="4" w:space="0" w:color="000000"/>
              <w:left w:val="single" w:sz="4" w:space="0" w:color="808080"/>
              <w:bottom w:val="single" w:sz="4" w:space="0" w:color="000000"/>
              <w:right w:val="single" w:sz="4" w:space="0" w:color="808080"/>
            </w:tcBorders>
          </w:tcPr>
          <w:p w14:paraId="21EACEE2" w14:textId="77777777" w:rsidR="008973DD" w:rsidRPr="008973DD" w:rsidRDefault="008973DD" w:rsidP="00791098">
            <w:pPr>
              <w:pStyle w:val="Default"/>
              <w:rPr>
                <w:rFonts w:asciiTheme="minorHAnsi" w:hAnsiTheme="minorHAnsi" w:cstheme="minorHAnsi"/>
                <w:sz w:val="20"/>
                <w:szCs w:val="20"/>
              </w:rPr>
            </w:pPr>
            <w:r w:rsidRPr="008973DD">
              <w:rPr>
                <w:rFonts w:asciiTheme="minorHAnsi" w:hAnsiTheme="minorHAnsi" w:cstheme="minorHAnsi"/>
                <w:sz w:val="20"/>
                <w:szCs w:val="20"/>
              </w:rPr>
              <w:t xml:space="preserve">Primarily DWC; but the SLPD &amp; FD </w:t>
            </w:r>
            <w:proofErr w:type="gramStart"/>
            <w:r w:rsidRPr="008973DD">
              <w:rPr>
                <w:rFonts w:asciiTheme="minorHAnsi" w:hAnsiTheme="minorHAnsi" w:cstheme="minorHAnsi"/>
                <w:sz w:val="20"/>
                <w:szCs w:val="20"/>
              </w:rPr>
              <w:t>are  also</w:t>
            </w:r>
            <w:proofErr w:type="gramEnd"/>
            <w:r w:rsidRPr="008973DD">
              <w:rPr>
                <w:rFonts w:asciiTheme="minorHAnsi" w:hAnsiTheme="minorHAnsi" w:cstheme="minorHAnsi"/>
                <w:sz w:val="20"/>
                <w:szCs w:val="20"/>
              </w:rPr>
              <w:t xml:space="preserve"> </w:t>
            </w:r>
          </w:p>
          <w:p w14:paraId="480F7B82"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empowered </w:t>
            </w:r>
          </w:p>
        </w:tc>
        <w:tc>
          <w:tcPr>
            <w:tcW w:w="1080" w:type="dxa"/>
            <w:tcBorders>
              <w:top w:val="single" w:sz="4" w:space="0" w:color="000000"/>
              <w:left w:val="single" w:sz="4" w:space="0" w:color="808080"/>
              <w:bottom w:val="single" w:sz="4" w:space="0" w:color="000000"/>
              <w:right w:val="single" w:sz="4" w:space="0" w:color="808080"/>
            </w:tcBorders>
          </w:tcPr>
          <w:p w14:paraId="1502080A" w14:textId="77777777" w:rsidR="008973DD" w:rsidRPr="008973DD" w:rsidRDefault="008973DD" w:rsidP="00791098">
            <w:pPr>
              <w:rPr>
                <w:rFonts w:asciiTheme="minorHAnsi" w:hAnsiTheme="minorHAnsi" w:cstheme="minorHAnsi"/>
                <w:color w:val="000000"/>
                <w:lang w:bidi="si-LK"/>
              </w:rPr>
            </w:pPr>
          </w:p>
          <w:p w14:paraId="09FB2AFF"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Wildlife Preservation Fund</w:t>
            </w: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03AD376E"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273432AE"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1080" w:type="dxa"/>
            <w:gridSpan w:val="2"/>
            <w:tcBorders>
              <w:top w:val="single" w:sz="4" w:space="0" w:color="000000"/>
              <w:left w:val="single" w:sz="4" w:space="0" w:color="808080"/>
              <w:bottom w:val="single" w:sz="4" w:space="0" w:color="000000"/>
              <w:right w:val="single" w:sz="4" w:space="0" w:color="808080"/>
            </w:tcBorders>
          </w:tcPr>
          <w:p w14:paraId="18890E23" w14:textId="77777777" w:rsidR="008973DD" w:rsidRPr="008973DD" w:rsidRDefault="008973DD" w:rsidP="00791098">
            <w:pP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shd w:val="clear" w:color="auto" w:fill="E0E0E0"/>
          </w:tcPr>
          <w:p w14:paraId="5CF00EC8" w14:textId="77777777" w:rsidR="008973DD" w:rsidRPr="008973DD" w:rsidRDefault="008973DD" w:rsidP="00791098">
            <w:pPr>
              <w:rPr>
                <w:rFonts w:asciiTheme="minorHAnsi" w:hAnsiTheme="minorHAnsi" w:cstheme="minorHAnsi"/>
                <w:color w:val="000000"/>
              </w:rPr>
            </w:pPr>
          </w:p>
          <w:p w14:paraId="00740619"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tc>
        <w:tc>
          <w:tcPr>
            <w:tcW w:w="900" w:type="dxa"/>
            <w:tcBorders>
              <w:top w:val="single" w:sz="4" w:space="0" w:color="000000"/>
              <w:left w:val="single" w:sz="4" w:space="0" w:color="808080"/>
              <w:bottom w:val="single" w:sz="4" w:space="0" w:color="000000"/>
              <w:right w:val="single" w:sz="4" w:space="0" w:color="808080"/>
            </w:tcBorders>
            <w:shd w:val="clear" w:color="auto" w:fill="E0E0E0"/>
          </w:tcPr>
          <w:p w14:paraId="7E1A8EB9" w14:textId="77777777" w:rsidR="008973DD" w:rsidRPr="008973DD" w:rsidRDefault="008973DD" w:rsidP="00791098">
            <w:pPr>
              <w:rPr>
                <w:rFonts w:asciiTheme="minorHAnsi" w:hAnsiTheme="minorHAnsi" w:cstheme="minorHAnsi"/>
                <w:color w:val="000000"/>
              </w:rPr>
            </w:pPr>
          </w:p>
          <w:p w14:paraId="5BE23E67"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tc>
        <w:tc>
          <w:tcPr>
            <w:tcW w:w="1080" w:type="dxa"/>
            <w:gridSpan w:val="3"/>
            <w:tcBorders>
              <w:top w:val="single" w:sz="4" w:space="0" w:color="000000"/>
              <w:left w:val="single" w:sz="4" w:space="0" w:color="808080"/>
              <w:bottom w:val="single" w:sz="4" w:space="0" w:color="000000"/>
              <w:right w:val="single" w:sz="4" w:space="0" w:color="FFFFFF"/>
            </w:tcBorders>
          </w:tcPr>
          <w:p w14:paraId="1180C9B7" w14:textId="77777777" w:rsidR="008973DD" w:rsidRPr="008973DD" w:rsidRDefault="008973DD" w:rsidP="00791098">
            <w:pPr>
              <w:rPr>
                <w:rFonts w:asciiTheme="minorHAnsi" w:hAnsiTheme="minorHAnsi" w:cstheme="minorHAnsi"/>
                <w:color w:val="000000"/>
              </w:rPr>
            </w:pPr>
          </w:p>
        </w:tc>
      </w:tr>
      <w:tr w:rsidR="008973DD" w:rsidRPr="002A7044" w14:paraId="31AD8CC3"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38DE65C9" w14:textId="77777777" w:rsidR="008973DD" w:rsidRPr="008973DD" w:rsidRDefault="008973DD" w:rsidP="00791098">
            <w:pPr>
              <w:ind w:left="72"/>
              <w:rPr>
                <w:rFonts w:asciiTheme="minorHAnsi" w:hAnsiTheme="minorHAnsi" w:cstheme="minorHAnsi"/>
                <w:color w:val="000000"/>
              </w:rPr>
            </w:pPr>
            <w:r w:rsidRPr="008973DD">
              <w:rPr>
                <w:rFonts w:asciiTheme="minorHAnsi" w:hAnsiTheme="minorHAnsi" w:cstheme="minorHAnsi"/>
                <w:color w:val="000000"/>
                <w:lang w:bidi="si-LK"/>
              </w:rPr>
              <w:t xml:space="preserve">Forest Ordinance No. 16 of 1907 </w:t>
            </w:r>
            <w:r w:rsidRPr="008973DD">
              <w:rPr>
                <w:rFonts w:asciiTheme="minorHAnsi" w:hAnsiTheme="minorHAnsi" w:cstheme="minorHAnsi"/>
                <w:color w:val="000000"/>
              </w:rPr>
              <w:t xml:space="preserve">and its amendments </w:t>
            </w:r>
          </w:p>
          <w:p w14:paraId="46F3A8E2" w14:textId="77777777" w:rsidR="008973DD" w:rsidRPr="008973DD" w:rsidRDefault="008973DD" w:rsidP="00791098">
            <w:pPr>
              <w:ind w:left="72"/>
              <w:rPr>
                <w:rFonts w:asciiTheme="minorHAnsi" w:hAnsiTheme="minorHAnsi" w:cstheme="minorHAnsi"/>
                <w:color w:val="000000"/>
              </w:rPr>
            </w:pPr>
          </w:p>
          <w:p w14:paraId="0CA2D047" w14:textId="77777777" w:rsidR="008973DD" w:rsidRPr="008973DD" w:rsidRDefault="008973DD" w:rsidP="00791098">
            <w:pPr>
              <w:ind w:left="72"/>
              <w:rPr>
                <w:rFonts w:asciiTheme="minorHAnsi" w:hAnsiTheme="minorHAnsi" w:cstheme="minorHAnsi"/>
                <w:color w:val="000000"/>
              </w:rPr>
            </w:pPr>
          </w:p>
        </w:tc>
        <w:tc>
          <w:tcPr>
            <w:tcW w:w="1620" w:type="dxa"/>
            <w:tcBorders>
              <w:top w:val="single" w:sz="4" w:space="0" w:color="000000"/>
              <w:left w:val="single" w:sz="4" w:space="0" w:color="808080"/>
              <w:bottom w:val="single" w:sz="4" w:space="0" w:color="000000"/>
              <w:right w:val="single" w:sz="4" w:space="0" w:color="808080"/>
            </w:tcBorders>
          </w:tcPr>
          <w:p w14:paraId="5D1CF607" w14:textId="77777777" w:rsidR="008973DD" w:rsidRPr="008973DD" w:rsidRDefault="008973DD" w:rsidP="00791098">
            <w:pPr>
              <w:rPr>
                <w:rFonts w:asciiTheme="minorHAnsi" w:hAnsiTheme="minorHAnsi" w:cstheme="minorHAnsi"/>
                <w:color w:val="000000"/>
                <w:lang w:bidi="si-LK"/>
              </w:rPr>
            </w:pPr>
          </w:p>
          <w:p w14:paraId="3B175A43"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 xml:space="preserve">FD </w:t>
            </w:r>
          </w:p>
        </w:tc>
        <w:tc>
          <w:tcPr>
            <w:tcW w:w="1080" w:type="dxa"/>
            <w:tcBorders>
              <w:top w:val="single" w:sz="4" w:space="0" w:color="000000"/>
              <w:left w:val="single" w:sz="4" w:space="0" w:color="808080"/>
              <w:bottom w:val="single" w:sz="4" w:space="0" w:color="000000"/>
              <w:right w:val="single" w:sz="4" w:space="0" w:color="808080"/>
            </w:tcBorders>
          </w:tcPr>
          <w:p w14:paraId="09EE8F84" w14:textId="77777777" w:rsidR="008973DD" w:rsidRPr="008973DD" w:rsidRDefault="008973DD" w:rsidP="00791098">
            <w:pPr>
              <w:spacing w:before="60"/>
              <w:rPr>
                <w:rFonts w:asciiTheme="minorHAnsi" w:hAnsiTheme="minorHAnsi" w:cstheme="minorHAnsi"/>
                <w:color w:val="000000"/>
              </w:rPr>
            </w:pPr>
            <w:r w:rsidRPr="008973DD">
              <w:rPr>
                <w:rFonts w:asciiTheme="minorHAnsi" w:hAnsiTheme="minorHAnsi" w:cstheme="minorHAnsi"/>
                <w:color w:val="000000"/>
                <w:lang w:bidi="si-LK"/>
              </w:rPr>
              <w:t>Forest Department Fund</w:t>
            </w: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20045FE5"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62DF9CB8"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1080" w:type="dxa"/>
            <w:gridSpan w:val="2"/>
            <w:tcBorders>
              <w:top w:val="single" w:sz="4" w:space="0" w:color="000000"/>
              <w:left w:val="single" w:sz="4" w:space="0" w:color="808080"/>
              <w:bottom w:val="single" w:sz="4" w:space="0" w:color="000000"/>
              <w:right w:val="single" w:sz="4" w:space="0" w:color="808080"/>
            </w:tcBorders>
          </w:tcPr>
          <w:p w14:paraId="378C3874" w14:textId="77777777" w:rsidR="008973DD" w:rsidRPr="008973DD" w:rsidRDefault="008973DD" w:rsidP="00791098">
            <w:pP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shd w:val="clear" w:color="auto" w:fill="E0E0E0"/>
          </w:tcPr>
          <w:p w14:paraId="195E8C6A" w14:textId="77777777" w:rsidR="008973DD" w:rsidRPr="008973DD" w:rsidRDefault="008973DD" w:rsidP="00791098">
            <w:pPr>
              <w:rPr>
                <w:rFonts w:asciiTheme="minorHAnsi" w:hAnsiTheme="minorHAnsi" w:cstheme="minorHAnsi"/>
                <w:color w:val="000000"/>
              </w:rPr>
            </w:pPr>
          </w:p>
          <w:p w14:paraId="5B3D82EA"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tc>
        <w:tc>
          <w:tcPr>
            <w:tcW w:w="900" w:type="dxa"/>
            <w:tcBorders>
              <w:top w:val="single" w:sz="4" w:space="0" w:color="000000"/>
              <w:left w:val="single" w:sz="4" w:space="0" w:color="808080"/>
              <w:bottom w:val="single" w:sz="4" w:space="0" w:color="000000"/>
              <w:right w:val="single" w:sz="4" w:space="0" w:color="808080"/>
            </w:tcBorders>
            <w:shd w:val="clear" w:color="auto" w:fill="E0E0E0"/>
          </w:tcPr>
          <w:p w14:paraId="61D444FD" w14:textId="77777777" w:rsidR="008973DD" w:rsidRPr="008973DD" w:rsidRDefault="008973DD" w:rsidP="00791098">
            <w:pPr>
              <w:rPr>
                <w:rFonts w:asciiTheme="minorHAnsi" w:hAnsiTheme="minorHAnsi" w:cstheme="minorHAnsi"/>
                <w:color w:val="000000"/>
              </w:rPr>
            </w:pPr>
          </w:p>
          <w:p w14:paraId="27679306"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p w14:paraId="4B802359" w14:textId="77777777" w:rsidR="008973DD" w:rsidRPr="008973DD" w:rsidRDefault="008973DD" w:rsidP="00791098">
            <w:pPr>
              <w:rPr>
                <w:rFonts w:asciiTheme="minorHAnsi" w:hAnsiTheme="minorHAnsi" w:cstheme="minorHAnsi"/>
                <w:color w:val="000000"/>
              </w:rPr>
            </w:pPr>
          </w:p>
          <w:p w14:paraId="0DD8E2D4" w14:textId="77777777" w:rsidR="008973DD" w:rsidRPr="008973DD" w:rsidRDefault="008973DD" w:rsidP="00791098">
            <w:pPr>
              <w:rPr>
                <w:rFonts w:asciiTheme="minorHAnsi" w:hAnsiTheme="minorHAnsi" w:cstheme="minorHAnsi"/>
                <w:color w:val="003366"/>
              </w:rPr>
            </w:pPr>
            <w:proofErr w:type="gramStart"/>
            <w:r w:rsidRPr="008973DD">
              <w:rPr>
                <w:rFonts w:asciiTheme="minorHAnsi" w:hAnsiTheme="minorHAnsi" w:cstheme="minorHAnsi"/>
                <w:color w:val="003366"/>
              </w:rPr>
              <w:t>Also</w:t>
            </w:r>
            <w:proofErr w:type="gramEnd"/>
            <w:r w:rsidRPr="008973DD">
              <w:rPr>
                <w:rFonts w:asciiTheme="minorHAnsi" w:hAnsiTheme="minorHAnsi" w:cstheme="minorHAnsi"/>
                <w:color w:val="003366"/>
              </w:rPr>
              <w:t xml:space="preserve"> offsets</w:t>
            </w:r>
          </w:p>
        </w:tc>
        <w:tc>
          <w:tcPr>
            <w:tcW w:w="1080" w:type="dxa"/>
            <w:gridSpan w:val="3"/>
            <w:tcBorders>
              <w:top w:val="single" w:sz="4" w:space="0" w:color="000000"/>
              <w:left w:val="single" w:sz="4" w:space="0" w:color="808080"/>
              <w:bottom w:val="single" w:sz="4" w:space="0" w:color="000000"/>
              <w:right w:val="single" w:sz="4" w:space="0" w:color="FFFFFF"/>
            </w:tcBorders>
          </w:tcPr>
          <w:p w14:paraId="54829C28" w14:textId="77777777" w:rsidR="008973DD" w:rsidRPr="008973DD" w:rsidRDefault="008973DD" w:rsidP="00791098">
            <w:pPr>
              <w:rPr>
                <w:rFonts w:asciiTheme="minorHAnsi" w:hAnsiTheme="minorHAnsi" w:cstheme="minorHAnsi"/>
                <w:color w:val="000000"/>
              </w:rPr>
            </w:pPr>
          </w:p>
        </w:tc>
      </w:tr>
      <w:tr w:rsidR="008973DD" w:rsidRPr="002A7044" w14:paraId="0C848A7B"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69FDF3B2"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The National Heritage Wilderness Areas Act No. 03 of 1988</w:t>
            </w:r>
          </w:p>
        </w:tc>
        <w:tc>
          <w:tcPr>
            <w:tcW w:w="1620" w:type="dxa"/>
            <w:tcBorders>
              <w:top w:val="single" w:sz="4" w:space="0" w:color="000000"/>
              <w:left w:val="single" w:sz="4" w:space="0" w:color="808080"/>
              <w:bottom w:val="single" w:sz="4" w:space="0" w:color="000000"/>
              <w:right w:val="single" w:sz="4" w:space="0" w:color="808080"/>
            </w:tcBorders>
          </w:tcPr>
          <w:p w14:paraId="4E7AF238" w14:textId="77777777" w:rsidR="008973DD" w:rsidRPr="008973DD" w:rsidRDefault="008973DD" w:rsidP="00791098">
            <w:pPr>
              <w:rPr>
                <w:rFonts w:asciiTheme="minorHAnsi" w:hAnsiTheme="minorHAnsi" w:cstheme="minorHAnsi"/>
                <w:color w:val="000000"/>
                <w:lang w:bidi="si-LK"/>
              </w:rPr>
            </w:pPr>
          </w:p>
          <w:p w14:paraId="5DAB202A"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FD</w:t>
            </w:r>
          </w:p>
        </w:tc>
        <w:tc>
          <w:tcPr>
            <w:tcW w:w="6480" w:type="dxa"/>
            <w:gridSpan w:val="10"/>
            <w:tcBorders>
              <w:top w:val="single" w:sz="4" w:space="0" w:color="000000"/>
              <w:left w:val="single" w:sz="4" w:space="0" w:color="808080"/>
              <w:bottom w:val="single" w:sz="4" w:space="0" w:color="000000"/>
              <w:right w:val="single" w:sz="4" w:space="0" w:color="FFFFFF"/>
            </w:tcBorders>
            <w:vAlign w:val="center"/>
          </w:tcPr>
          <w:p w14:paraId="08FDD296"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No regulations for fines, fees etc. </w:t>
            </w:r>
          </w:p>
        </w:tc>
      </w:tr>
      <w:tr w:rsidR="008973DD" w:rsidRPr="002A7044" w14:paraId="06A91DCE"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53C136D2" w14:textId="77777777" w:rsidR="008973DD" w:rsidRPr="008973DD" w:rsidRDefault="008973DD" w:rsidP="00791098">
            <w:pPr>
              <w:ind w:left="72"/>
              <w:rPr>
                <w:rFonts w:asciiTheme="minorHAnsi" w:hAnsiTheme="minorHAnsi" w:cstheme="minorHAnsi"/>
                <w:color w:val="000000"/>
              </w:rPr>
            </w:pPr>
            <w:r w:rsidRPr="008973DD">
              <w:rPr>
                <w:rFonts w:asciiTheme="minorHAnsi" w:hAnsiTheme="minorHAnsi" w:cstheme="minorHAnsi"/>
                <w:color w:val="000000"/>
                <w:lang w:bidi="si-LK"/>
              </w:rPr>
              <w:t xml:space="preserve">Coast Conservation Act No. 57 of 1981, </w:t>
            </w:r>
            <w:r w:rsidRPr="008973DD">
              <w:rPr>
                <w:rFonts w:asciiTheme="minorHAnsi" w:hAnsiTheme="minorHAnsi" w:cstheme="minorHAnsi"/>
                <w:color w:val="000000"/>
              </w:rPr>
              <w:t xml:space="preserve">and its amendments </w:t>
            </w:r>
          </w:p>
        </w:tc>
        <w:tc>
          <w:tcPr>
            <w:tcW w:w="1620" w:type="dxa"/>
            <w:tcBorders>
              <w:top w:val="single" w:sz="4" w:space="0" w:color="000000"/>
              <w:left w:val="single" w:sz="4" w:space="0" w:color="808080"/>
              <w:bottom w:val="single" w:sz="4" w:space="0" w:color="000000"/>
              <w:right w:val="single" w:sz="4" w:space="0" w:color="808080"/>
            </w:tcBorders>
          </w:tcPr>
          <w:p w14:paraId="36610196" w14:textId="77777777" w:rsidR="008973DD" w:rsidRPr="008973DD" w:rsidRDefault="008973DD" w:rsidP="00791098">
            <w:pPr>
              <w:rPr>
                <w:rFonts w:asciiTheme="minorHAnsi" w:hAnsiTheme="minorHAnsi" w:cstheme="minorHAnsi"/>
                <w:color w:val="000000"/>
              </w:rPr>
            </w:pPr>
          </w:p>
          <w:p w14:paraId="4286B587"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CC&amp;CRMD </w:t>
            </w:r>
          </w:p>
        </w:tc>
        <w:tc>
          <w:tcPr>
            <w:tcW w:w="1080" w:type="dxa"/>
            <w:tcBorders>
              <w:top w:val="single" w:sz="4" w:space="0" w:color="000000"/>
              <w:left w:val="single" w:sz="4" w:space="0" w:color="808080"/>
              <w:bottom w:val="single" w:sz="4" w:space="0" w:color="000000"/>
              <w:right w:val="single" w:sz="4" w:space="0" w:color="808080"/>
            </w:tcBorders>
          </w:tcPr>
          <w:p w14:paraId="44EED44F"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Coastal Protection Reward Fund</w:t>
            </w: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1953B37E"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3B19A59E"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61F364C1" w14:textId="77777777" w:rsidR="008973DD" w:rsidRPr="008973DD" w:rsidRDefault="008973DD" w:rsidP="00791098">
            <w:pP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tcPr>
          <w:p w14:paraId="516D2F75"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shd w:val="clear" w:color="auto" w:fill="E0E0E0"/>
          </w:tcPr>
          <w:p w14:paraId="64C27232" w14:textId="77777777" w:rsidR="008973DD" w:rsidRPr="008973DD" w:rsidRDefault="008973DD" w:rsidP="00791098">
            <w:pPr>
              <w:rPr>
                <w:rFonts w:asciiTheme="minorHAnsi" w:hAnsiTheme="minorHAnsi" w:cstheme="minorHAnsi"/>
                <w:color w:val="000000"/>
              </w:rPr>
            </w:pPr>
          </w:p>
          <w:p w14:paraId="12A3C813"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tc>
        <w:tc>
          <w:tcPr>
            <w:tcW w:w="900" w:type="dxa"/>
            <w:gridSpan w:val="2"/>
            <w:tcBorders>
              <w:top w:val="single" w:sz="4" w:space="0" w:color="000000"/>
              <w:left w:val="single" w:sz="4" w:space="0" w:color="808080"/>
              <w:bottom w:val="single" w:sz="4" w:space="0" w:color="000000"/>
              <w:right w:val="single" w:sz="4" w:space="0" w:color="FFFFFF"/>
            </w:tcBorders>
          </w:tcPr>
          <w:p w14:paraId="303F4790" w14:textId="77777777" w:rsidR="008973DD" w:rsidRPr="008973DD" w:rsidRDefault="008973DD" w:rsidP="00791098">
            <w:pPr>
              <w:rPr>
                <w:rFonts w:asciiTheme="minorHAnsi" w:hAnsiTheme="minorHAnsi" w:cstheme="minorHAnsi"/>
                <w:color w:val="000000"/>
              </w:rPr>
            </w:pPr>
          </w:p>
        </w:tc>
      </w:tr>
      <w:tr w:rsidR="008973DD" w:rsidRPr="002A7044" w14:paraId="609151D9"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20E92E0C" w14:textId="77777777" w:rsidR="008973DD" w:rsidRPr="008973DD" w:rsidRDefault="008973DD" w:rsidP="00791098">
            <w:pPr>
              <w:ind w:left="72"/>
              <w:rPr>
                <w:rFonts w:asciiTheme="minorHAnsi" w:hAnsiTheme="minorHAnsi" w:cstheme="minorHAnsi"/>
                <w:color w:val="000000"/>
                <w:lang w:bidi="si-LK"/>
              </w:rPr>
            </w:pPr>
          </w:p>
          <w:p w14:paraId="2C983D68" w14:textId="77777777" w:rsidR="008973DD" w:rsidRPr="008973DD" w:rsidRDefault="008973DD" w:rsidP="00791098">
            <w:pPr>
              <w:ind w:left="72"/>
              <w:rPr>
                <w:rFonts w:asciiTheme="minorHAnsi" w:hAnsiTheme="minorHAnsi" w:cstheme="minorHAnsi"/>
                <w:color w:val="000000"/>
              </w:rPr>
            </w:pPr>
            <w:r w:rsidRPr="008973DD">
              <w:rPr>
                <w:rFonts w:asciiTheme="minorHAnsi" w:hAnsiTheme="minorHAnsi" w:cstheme="minorHAnsi"/>
                <w:color w:val="000000"/>
                <w:lang w:bidi="si-LK"/>
              </w:rPr>
              <w:t xml:space="preserve">Fisheries and Aquatic Resources </w:t>
            </w:r>
            <w:proofErr w:type="gramStart"/>
            <w:r w:rsidRPr="008973DD">
              <w:rPr>
                <w:rFonts w:asciiTheme="minorHAnsi" w:hAnsiTheme="minorHAnsi" w:cstheme="minorHAnsi"/>
                <w:color w:val="000000"/>
                <w:lang w:bidi="si-LK"/>
              </w:rPr>
              <w:t>Act  No.</w:t>
            </w:r>
            <w:proofErr w:type="gramEnd"/>
            <w:r w:rsidRPr="008973DD">
              <w:rPr>
                <w:rFonts w:asciiTheme="minorHAnsi" w:hAnsiTheme="minorHAnsi" w:cstheme="minorHAnsi"/>
                <w:color w:val="000000"/>
                <w:lang w:bidi="si-LK"/>
              </w:rPr>
              <w:t xml:space="preserve"> 02 of 1996 </w:t>
            </w:r>
          </w:p>
        </w:tc>
        <w:tc>
          <w:tcPr>
            <w:tcW w:w="1620" w:type="dxa"/>
            <w:tcBorders>
              <w:top w:val="single" w:sz="4" w:space="0" w:color="000000"/>
              <w:left w:val="single" w:sz="4" w:space="0" w:color="808080"/>
              <w:bottom w:val="single" w:sz="4" w:space="0" w:color="000000"/>
              <w:right w:val="single" w:sz="4" w:space="0" w:color="808080"/>
            </w:tcBorders>
          </w:tcPr>
          <w:p w14:paraId="6778775A" w14:textId="77777777" w:rsidR="008973DD" w:rsidRPr="008973DD" w:rsidRDefault="008973DD" w:rsidP="00791098">
            <w:pPr>
              <w:rPr>
                <w:rFonts w:asciiTheme="minorHAnsi" w:hAnsiTheme="minorHAnsi" w:cstheme="minorHAnsi"/>
                <w:color w:val="000000"/>
                <w:lang w:bidi="si-LK"/>
              </w:rPr>
            </w:pPr>
          </w:p>
          <w:p w14:paraId="138796DB" w14:textId="77777777" w:rsidR="008973DD" w:rsidRPr="008973DD" w:rsidRDefault="008973DD" w:rsidP="00791098">
            <w:pPr>
              <w:rPr>
                <w:rFonts w:asciiTheme="minorHAnsi" w:hAnsiTheme="minorHAnsi" w:cstheme="minorHAnsi"/>
                <w:color w:val="000000"/>
                <w:lang w:bidi="si-LK"/>
              </w:rPr>
            </w:pPr>
            <w:r w:rsidRPr="008973DD">
              <w:rPr>
                <w:rFonts w:asciiTheme="minorHAnsi" w:hAnsiTheme="minorHAnsi" w:cstheme="minorHAnsi"/>
                <w:color w:val="000000"/>
                <w:lang w:bidi="si-LK"/>
              </w:rPr>
              <w:t xml:space="preserve">DFAR </w:t>
            </w:r>
          </w:p>
          <w:p w14:paraId="53B31D42" w14:textId="77777777" w:rsidR="008973DD" w:rsidRPr="008973DD" w:rsidRDefault="008973DD" w:rsidP="00791098">
            <w:pPr>
              <w:rPr>
                <w:rFonts w:asciiTheme="minorHAnsi" w:hAnsiTheme="minorHAnsi" w:cstheme="minorHAnsi"/>
                <w:color w:val="000000"/>
              </w:rPr>
            </w:pPr>
          </w:p>
        </w:tc>
        <w:tc>
          <w:tcPr>
            <w:tcW w:w="1080" w:type="dxa"/>
            <w:tcBorders>
              <w:top w:val="single" w:sz="4" w:space="0" w:color="000000"/>
              <w:left w:val="single" w:sz="4" w:space="0" w:color="808080"/>
              <w:bottom w:val="single" w:sz="4" w:space="0" w:color="000000"/>
              <w:right w:val="single" w:sz="4" w:space="0" w:color="808080"/>
            </w:tcBorders>
          </w:tcPr>
          <w:p w14:paraId="197654AE" w14:textId="77777777" w:rsidR="008973DD" w:rsidRPr="008973DD" w:rsidRDefault="008973DD" w:rsidP="00791098">
            <w:pPr>
              <w:rPr>
                <w:rFonts w:asciiTheme="minorHAnsi" w:hAnsiTheme="minorHAnsi" w:cstheme="minorHAnsi"/>
                <w:b/>
                <w:bCs/>
                <w:color w:val="000000"/>
                <w:lang w:bidi="si-LK"/>
              </w:rPr>
            </w:pPr>
          </w:p>
          <w:p w14:paraId="6B9B59AC" w14:textId="77777777" w:rsidR="008973DD" w:rsidRPr="008973DD" w:rsidRDefault="008973DD" w:rsidP="00791098">
            <w:pPr>
              <w:rPr>
                <w:rFonts w:asciiTheme="minorHAnsi" w:hAnsiTheme="minorHAnsi" w:cstheme="minorHAnsi"/>
                <w:b/>
                <w:bCs/>
                <w:color w:val="000000"/>
                <w:lang w:bidi="si-LK"/>
              </w:rPr>
            </w:pPr>
            <w:r w:rsidRPr="008973DD">
              <w:rPr>
                <w:rFonts w:asciiTheme="minorHAnsi" w:hAnsiTheme="minorHAnsi" w:cstheme="minorHAnsi"/>
                <w:color w:val="000000"/>
                <w:lang w:bidi="si-LK"/>
              </w:rPr>
              <w:t>The Fisheries Reward Fund</w:t>
            </w:r>
          </w:p>
          <w:p w14:paraId="41CBF9BF"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4938DB58"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25439956"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shd w:val="clear" w:color="auto" w:fill="E0E0E0"/>
          </w:tcPr>
          <w:p w14:paraId="2D5E2DF8" w14:textId="77777777" w:rsidR="008973DD" w:rsidRPr="008973DD" w:rsidRDefault="008973DD" w:rsidP="00791098">
            <w:pPr>
              <w:autoSpaceDE w:val="0"/>
              <w:autoSpaceDN w:val="0"/>
              <w:adjustRightInd w:val="0"/>
              <w:rPr>
                <w:rFonts w:asciiTheme="minorHAnsi" w:hAnsiTheme="minorHAnsi" w:cstheme="minorHAnsi"/>
                <w:color w:val="003366"/>
                <w:lang w:bidi="si-LK"/>
              </w:rPr>
            </w:pPr>
            <w:r w:rsidRPr="008973DD">
              <w:rPr>
                <w:rFonts w:asciiTheme="minorHAnsi" w:hAnsiTheme="minorHAnsi" w:cstheme="minorHAnsi"/>
                <w:color w:val="000000"/>
              </w:rPr>
              <w:t>x</w:t>
            </w:r>
            <w:r w:rsidRPr="008973DD">
              <w:rPr>
                <w:rFonts w:asciiTheme="minorHAnsi" w:hAnsiTheme="minorHAnsi" w:cstheme="minorHAnsi"/>
                <w:color w:val="000000"/>
                <w:lang w:bidi="si-LK"/>
              </w:rPr>
              <w:t xml:space="preserve"> </w:t>
            </w:r>
            <w:r w:rsidRPr="008973DD">
              <w:rPr>
                <w:rFonts w:asciiTheme="minorHAnsi" w:hAnsiTheme="minorHAnsi" w:cstheme="minorHAnsi"/>
                <w:color w:val="003366"/>
                <w:lang w:bidi="si-LK"/>
              </w:rPr>
              <w:t>Collected by Customs Credited to the CF</w:t>
            </w:r>
          </w:p>
          <w:p w14:paraId="11163FA4" w14:textId="77777777" w:rsidR="008973DD" w:rsidRPr="008973DD" w:rsidRDefault="008973DD" w:rsidP="00791098">
            <w:pP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tcPr>
          <w:p w14:paraId="1D942111"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shd w:val="clear" w:color="auto" w:fill="E0E0E0"/>
          </w:tcPr>
          <w:p w14:paraId="56C53C47" w14:textId="77777777" w:rsidR="008973DD" w:rsidRPr="008973DD" w:rsidRDefault="008973DD" w:rsidP="00791098">
            <w:pPr>
              <w:rPr>
                <w:rFonts w:asciiTheme="minorHAnsi" w:hAnsiTheme="minorHAnsi" w:cstheme="minorHAnsi"/>
                <w:color w:val="000000"/>
              </w:rPr>
            </w:pPr>
          </w:p>
          <w:p w14:paraId="67A644FC"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tc>
        <w:tc>
          <w:tcPr>
            <w:tcW w:w="900" w:type="dxa"/>
            <w:gridSpan w:val="2"/>
            <w:tcBorders>
              <w:top w:val="single" w:sz="4" w:space="0" w:color="000000"/>
              <w:left w:val="single" w:sz="4" w:space="0" w:color="808080"/>
              <w:bottom w:val="single" w:sz="4" w:space="0" w:color="000000"/>
              <w:right w:val="single" w:sz="4" w:space="0" w:color="FFFFFF"/>
            </w:tcBorders>
          </w:tcPr>
          <w:p w14:paraId="70B1658A" w14:textId="77777777" w:rsidR="008973DD" w:rsidRPr="008973DD" w:rsidRDefault="008973DD" w:rsidP="00791098">
            <w:pPr>
              <w:rPr>
                <w:rFonts w:asciiTheme="minorHAnsi" w:hAnsiTheme="minorHAnsi" w:cstheme="minorHAnsi"/>
                <w:color w:val="000000"/>
              </w:rPr>
            </w:pPr>
          </w:p>
        </w:tc>
      </w:tr>
      <w:tr w:rsidR="008973DD" w:rsidRPr="002A7044" w14:paraId="3074855D"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41FDCF45"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Marine Pollution Prevention Act No. 59 of 1981, and its amendments  </w:t>
            </w:r>
          </w:p>
          <w:p w14:paraId="410550F3" w14:textId="77777777" w:rsidR="008973DD" w:rsidRPr="008973DD" w:rsidRDefault="008973DD" w:rsidP="00791098">
            <w:pPr>
              <w:ind w:left="72"/>
              <w:rPr>
                <w:rFonts w:asciiTheme="minorHAnsi" w:hAnsiTheme="minorHAnsi" w:cstheme="minorHAnsi"/>
                <w:color w:val="000000"/>
                <w:lang w:bidi="si-LK"/>
              </w:rPr>
            </w:pPr>
          </w:p>
        </w:tc>
        <w:tc>
          <w:tcPr>
            <w:tcW w:w="1620" w:type="dxa"/>
            <w:tcBorders>
              <w:top w:val="single" w:sz="4" w:space="0" w:color="000000"/>
              <w:left w:val="single" w:sz="4" w:space="0" w:color="808080"/>
              <w:bottom w:val="single" w:sz="4" w:space="0" w:color="000000"/>
              <w:right w:val="single" w:sz="4" w:space="0" w:color="808080"/>
            </w:tcBorders>
          </w:tcPr>
          <w:p w14:paraId="03FF4DAD" w14:textId="77777777" w:rsidR="008973DD" w:rsidRPr="008973DD" w:rsidRDefault="008973DD" w:rsidP="00791098">
            <w:pPr>
              <w:rPr>
                <w:rFonts w:asciiTheme="minorHAnsi" w:hAnsiTheme="minorHAnsi" w:cstheme="minorHAnsi"/>
                <w:color w:val="000000"/>
                <w:lang w:bidi="si-LK"/>
              </w:rPr>
            </w:pPr>
          </w:p>
          <w:p w14:paraId="74539FB0" w14:textId="77777777" w:rsidR="008973DD" w:rsidRPr="008973DD" w:rsidRDefault="008973DD" w:rsidP="00791098">
            <w:pPr>
              <w:rPr>
                <w:rFonts w:asciiTheme="minorHAnsi" w:hAnsiTheme="minorHAnsi" w:cstheme="minorHAnsi"/>
                <w:color w:val="000000"/>
                <w:lang w:bidi="si-LK"/>
              </w:rPr>
            </w:pPr>
            <w:r w:rsidRPr="008973DD">
              <w:rPr>
                <w:rFonts w:asciiTheme="minorHAnsi" w:hAnsiTheme="minorHAnsi" w:cstheme="minorHAnsi"/>
                <w:color w:val="000000"/>
                <w:lang w:bidi="si-LK"/>
              </w:rPr>
              <w:t xml:space="preserve">MEPA </w:t>
            </w:r>
          </w:p>
          <w:p w14:paraId="47222BD5" w14:textId="77777777" w:rsidR="008973DD" w:rsidRPr="008973DD" w:rsidRDefault="008973DD" w:rsidP="00791098">
            <w:pPr>
              <w:rPr>
                <w:rFonts w:asciiTheme="minorHAnsi" w:hAnsiTheme="minorHAnsi" w:cstheme="minorHAnsi"/>
                <w:color w:val="000000"/>
              </w:rPr>
            </w:pPr>
          </w:p>
        </w:tc>
        <w:tc>
          <w:tcPr>
            <w:tcW w:w="1080" w:type="dxa"/>
            <w:tcBorders>
              <w:top w:val="single" w:sz="4" w:space="0" w:color="000000"/>
              <w:left w:val="single" w:sz="4" w:space="0" w:color="808080"/>
              <w:bottom w:val="single" w:sz="4" w:space="0" w:color="000000"/>
              <w:right w:val="single" w:sz="4" w:space="0" w:color="808080"/>
            </w:tcBorders>
          </w:tcPr>
          <w:p w14:paraId="04F85ED4"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475A9354"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78D2CCB6"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4A046218" w14:textId="77777777" w:rsidR="008973DD" w:rsidRPr="008973DD" w:rsidRDefault="008973DD" w:rsidP="00791098">
            <w:pP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tcPr>
          <w:p w14:paraId="253415DA"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shd w:val="clear" w:color="auto" w:fill="E0E0E0"/>
          </w:tcPr>
          <w:p w14:paraId="5A370B95" w14:textId="77777777" w:rsidR="008973DD" w:rsidRPr="008973DD" w:rsidRDefault="008973DD" w:rsidP="00791098">
            <w:pPr>
              <w:rPr>
                <w:rFonts w:asciiTheme="minorHAnsi" w:hAnsiTheme="minorHAnsi" w:cstheme="minorHAnsi"/>
                <w:color w:val="000000"/>
              </w:rPr>
            </w:pPr>
          </w:p>
          <w:p w14:paraId="0CC44699"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p w14:paraId="60D50B89" w14:textId="77777777" w:rsidR="008973DD" w:rsidRPr="008973DD" w:rsidRDefault="008973DD" w:rsidP="00791098">
            <w:pPr>
              <w:rPr>
                <w:rFonts w:asciiTheme="minorHAnsi" w:hAnsiTheme="minorHAnsi" w:cstheme="minorHAnsi"/>
                <w:color w:val="003366"/>
                <w:lang w:bidi="si-LK"/>
              </w:rPr>
            </w:pPr>
            <w:r w:rsidRPr="008973DD">
              <w:rPr>
                <w:rFonts w:asciiTheme="minorHAnsi" w:hAnsiTheme="minorHAnsi" w:cstheme="minorHAnsi"/>
                <w:color w:val="003366"/>
                <w:lang w:bidi="si-LK"/>
              </w:rPr>
              <w:t>Sea dumping</w:t>
            </w:r>
          </w:p>
          <w:p w14:paraId="68286A32"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3366"/>
                <w:lang w:bidi="si-LK"/>
              </w:rPr>
              <w:t>permits</w:t>
            </w:r>
          </w:p>
        </w:tc>
        <w:tc>
          <w:tcPr>
            <w:tcW w:w="900" w:type="dxa"/>
            <w:gridSpan w:val="2"/>
            <w:tcBorders>
              <w:top w:val="single" w:sz="4" w:space="0" w:color="000000"/>
              <w:left w:val="single" w:sz="4" w:space="0" w:color="808080"/>
              <w:bottom w:val="single" w:sz="4" w:space="0" w:color="000000"/>
              <w:right w:val="single" w:sz="4" w:space="0" w:color="FFFFFF"/>
            </w:tcBorders>
          </w:tcPr>
          <w:p w14:paraId="717F01CA"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 </w:t>
            </w:r>
          </w:p>
        </w:tc>
      </w:tr>
      <w:tr w:rsidR="008973DD" w:rsidRPr="002A7044" w14:paraId="2463E3FD"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012D18AE" w14:textId="77777777" w:rsidR="008973DD" w:rsidRPr="008973DD" w:rsidRDefault="008973DD" w:rsidP="00791098">
            <w:pPr>
              <w:pStyle w:val="Default"/>
              <w:ind w:left="72"/>
              <w:rPr>
                <w:rFonts w:asciiTheme="minorHAnsi" w:hAnsiTheme="minorHAnsi" w:cstheme="minorHAnsi"/>
                <w:sz w:val="20"/>
                <w:szCs w:val="20"/>
              </w:rPr>
            </w:pPr>
            <w:r w:rsidRPr="008973DD">
              <w:rPr>
                <w:rFonts w:asciiTheme="minorHAnsi" w:hAnsiTheme="minorHAnsi" w:cstheme="minorHAnsi"/>
                <w:sz w:val="20"/>
                <w:szCs w:val="20"/>
              </w:rPr>
              <w:t>National Aquatic Resources and Development Agency Act No. 54 of 1981</w:t>
            </w:r>
          </w:p>
        </w:tc>
        <w:tc>
          <w:tcPr>
            <w:tcW w:w="1620" w:type="dxa"/>
            <w:tcBorders>
              <w:top w:val="single" w:sz="4" w:space="0" w:color="000000"/>
              <w:left w:val="single" w:sz="4" w:space="0" w:color="808080"/>
              <w:bottom w:val="single" w:sz="4" w:space="0" w:color="000000"/>
              <w:right w:val="single" w:sz="4" w:space="0" w:color="808080"/>
            </w:tcBorders>
          </w:tcPr>
          <w:p w14:paraId="3A188129" w14:textId="77777777" w:rsidR="008973DD" w:rsidRPr="008973DD" w:rsidRDefault="008973DD" w:rsidP="00791098">
            <w:pPr>
              <w:rPr>
                <w:rFonts w:asciiTheme="minorHAnsi" w:hAnsiTheme="minorHAnsi" w:cstheme="minorHAnsi"/>
                <w:color w:val="000000"/>
              </w:rPr>
            </w:pPr>
          </w:p>
          <w:p w14:paraId="591FD357"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NARA </w:t>
            </w:r>
          </w:p>
        </w:tc>
        <w:tc>
          <w:tcPr>
            <w:tcW w:w="1080" w:type="dxa"/>
            <w:tcBorders>
              <w:top w:val="single" w:sz="4" w:space="0" w:color="000000"/>
              <w:left w:val="single" w:sz="4" w:space="0" w:color="808080"/>
              <w:bottom w:val="single" w:sz="4" w:space="0" w:color="000000"/>
              <w:right w:val="single" w:sz="4" w:space="0" w:color="808080"/>
            </w:tcBorders>
          </w:tcPr>
          <w:p w14:paraId="34FBA6EB"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353F57F1" w14:textId="77777777" w:rsidR="008973DD" w:rsidRPr="008973DD" w:rsidRDefault="008973DD" w:rsidP="00791098">
            <w:pPr>
              <w:jc w:val="center"/>
              <w:rPr>
                <w:rFonts w:asciiTheme="minorHAnsi" w:hAnsiTheme="minorHAnsi" w:cstheme="minorHAnsi"/>
                <w:b/>
                <w:bCs/>
                <w:color w:val="000000"/>
              </w:rPr>
            </w:pPr>
          </w:p>
          <w:p w14:paraId="5A1D98D5"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4500" w:type="dxa"/>
            <w:gridSpan w:val="8"/>
            <w:tcBorders>
              <w:top w:val="single" w:sz="4" w:space="0" w:color="000000"/>
              <w:left w:val="single" w:sz="4" w:space="0" w:color="808080"/>
              <w:bottom w:val="single" w:sz="4" w:space="0" w:color="000000"/>
              <w:right w:val="single" w:sz="4" w:space="0" w:color="FFFFFF"/>
            </w:tcBorders>
            <w:vAlign w:val="center"/>
          </w:tcPr>
          <w:p w14:paraId="3C7D0CE1" w14:textId="77777777" w:rsidR="008973DD" w:rsidRPr="008973DD" w:rsidRDefault="008973DD" w:rsidP="00791098">
            <w:pPr>
              <w:rPr>
                <w:rFonts w:asciiTheme="minorHAnsi" w:hAnsiTheme="minorHAnsi" w:cstheme="minorHAnsi"/>
                <w:color w:val="003366"/>
              </w:rPr>
            </w:pPr>
            <w:r w:rsidRPr="008973DD">
              <w:rPr>
                <w:rFonts w:asciiTheme="minorHAnsi" w:hAnsiTheme="minorHAnsi" w:cstheme="minorHAnsi"/>
                <w:color w:val="003366"/>
              </w:rPr>
              <w:t xml:space="preserve">In carrying out its functions, NARA is permitted under the Act to enter into any contract or agreement with government departments, local authorities, public corporations, and other persons and receive </w:t>
            </w:r>
            <w:proofErr w:type="gramStart"/>
            <w:r w:rsidRPr="008973DD">
              <w:rPr>
                <w:rFonts w:asciiTheme="minorHAnsi" w:hAnsiTheme="minorHAnsi" w:cstheme="minorHAnsi"/>
                <w:color w:val="003366"/>
              </w:rPr>
              <w:t>donations  or</w:t>
            </w:r>
            <w:proofErr w:type="gramEnd"/>
            <w:r w:rsidRPr="008973DD">
              <w:rPr>
                <w:rFonts w:asciiTheme="minorHAnsi" w:hAnsiTheme="minorHAnsi" w:cstheme="minorHAnsi"/>
                <w:color w:val="003366"/>
              </w:rPr>
              <w:t xml:space="preserve"> charge fees for services such as EIAs etc.</w:t>
            </w:r>
          </w:p>
        </w:tc>
      </w:tr>
      <w:tr w:rsidR="008973DD" w:rsidRPr="002A7044" w14:paraId="27D9FCE0"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272E28FE"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Plant Protection Act No. 35 of 1999 </w:t>
            </w:r>
          </w:p>
        </w:tc>
        <w:tc>
          <w:tcPr>
            <w:tcW w:w="1620" w:type="dxa"/>
            <w:tcBorders>
              <w:top w:val="single" w:sz="4" w:space="0" w:color="000000"/>
              <w:left w:val="single" w:sz="4" w:space="0" w:color="808080"/>
              <w:bottom w:val="single" w:sz="4" w:space="0" w:color="000000"/>
              <w:right w:val="single" w:sz="4" w:space="0" w:color="808080"/>
            </w:tcBorders>
          </w:tcPr>
          <w:p w14:paraId="30E76813" w14:textId="77777777" w:rsidR="008973DD" w:rsidRPr="008973DD" w:rsidRDefault="008973DD" w:rsidP="00791098">
            <w:pPr>
              <w:rPr>
                <w:rFonts w:asciiTheme="minorHAnsi" w:hAnsiTheme="minorHAnsi" w:cstheme="minorHAnsi"/>
                <w:color w:val="000000"/>
                <w:lang w:bidi="si-LK"/>
              </w:rPr>
            </w:pPr>
          </w:p>
          <w:p w14:paraId="3890658A" w14:textId="77777777" w:rsidR="008973DD" w:rsidRPr="008973DD" w:rsidRDefault="008973DD" w:rsidP="00791098">
            <w:pPr>
              <w:rPr>
                <w:rFonts w:asciiTheme="minorHAnsi" w:hAnsiTheme="minorHAnsi" w:cstheme="minorHAnsi"/>
                <w:color w:val="000000"/>
              </w:rPr>
            </w:pPr>
            <w:proofErr w:type="spellStart"/>
            <w:r w:rsidRPr="008973DD">
              <w:rPr>
                <w:rFonts w:asciiTheme="minorHAnsi" w:hAnsiTheme="minorHAnsi" w:cstheme="minorHAnsi"/>
                <w:color w:val="000000"/>
                <w:lang w:bidi="si-LK"/>
              </w:rPr>
              <w:t>DoA</w:t>
            </w:r>
            <w:proofErr w:type="spellEnd"/>
            <w:r w:rsidRPr="008973DD">
              <w:rPr>
                <w:rFonts w:asciiTheme="minorHAnsi" w:hAnsiTheme="minorHAnsi" w:cstheme="minorHAnsi"/>
                <w:color w:val="000000"/>
                <w:lang w:bidi="si-LK"/>
              </w:rPr>
              <w:t xml:space="preserve"> </w:t>
            </w:r>
          </w:p>
        </w:tc>
        <w:tc>
          <w:tcPr>
            <w:tcW w:w="1080" w:type="dxa"/>
            <w:tcBorders>
              <w:top w:val="single" w:sz="4" w:space="0" w:color="000000"/>
              <w:left w:val="single" w:sz="4" w:space="0" w:color="808080"/>
              <w:bottom w:val="single" w:sz="4" w:space="0" w:color="000000"/>
              <w:right w:val="single" w:sz="4" w:space="0" w:color="808080"/>
            </w:tcBorders>
          </w:tcPr>
          <w:p w14:paraId="1694214C"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4BCE22FF"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3E2167EE"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229CE064"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77592861"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326EF917"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tcPr>
          <w:p w14:paraId="6656B7E7" w14:textId="77777777" w:rsidR="008973DD" w:rsidRPr="008973DD" w:rsidRDefault="008973DD" w:rsidP="00791098">
            <w:pPr>
              <w:rPr>
                <w:rFonts w:asciiTheme="minorHAnsi" w:hAnsiTheme="minorHAnsi" w:cstheme="minorHAnsi"/>
                <w:color w:val="000000"/>
              </w:rPr>
            </w:pPr>
          </w:p>
        </w:tc>
      </w:tr>
      <w:tr w:rsidR="008973DD" w:rsidRPr="002A7044" w14:paraId="5F8ED138"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70C6DCB0"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Water Hyacinth Ordinance No 9 of 1909 </w:t>
            </w:r>
          </w:p>
        </w:tc>
        <w:tc>
          <w:tcPr>
            <w:tcW w:w="1620" w:type="dxa"/>
            <w:tcBorders>
              <w:top w:val="single" w:sz="4" w:space="0" w:color="000000"/>
              <w:left w:val="single" w:sz="4" w:space="0" w:color="808080"/>
              <w:bottom w:val="single" w:sz="4" w:space="0" w:color="000000"/>
              <w:right w:val="single" w:sz="4" w:space="0" w:color="808080"/>
            </w:tcBorders>
          </w:tcPr>
          <w:p w14:paraId="180D3870" w14:textId="77777777" w:rsidR="008973DD" w:rsidRPr="008973DD" w:rsidRDefault="008973DD" w:rsidP="00791098">
            <w:pPr>
              <w:rPr>
                <w:rFonts w:asciiTheme="minorHAnsi" w:hAnsiTheme="minorHAnsi" w:cstheme="minorHAnsi"/>
                <w:color w:val="000000"/>
                <w:lang w:bidi="si-LK"/>
              </w:rPr>
            </w:pPr>
          </w:p>
          <w:p w14:paraId="4E3AD4C3" w14:textId="77777777" w:rsidR="008973DD" w:rsidRPr="008973DD" w:rsidRDefault="008973DD" w:rsidP="00791098">
            <w:pPr>
              <w:rPr>
                <w:rFonts w:asciiTheme="minorHAnsi" w:hAnsiTheme="minorHAnsi" w:cstheme="minorHAnsi"/>
                <w:color w:val="000000"/>
              </w:rPr>
            </w:pPr>
            <w:proofErr w:type="spellStart"/>
            <w:r w:rsidRPr="008973DD">
              <w:rPr>
                <w:rFonts w:asciiTheme="minorHAnsi" w:hAnsiTheme="minorHAnsi" w:cstheme="minorHAnsi"/>
                <w:color w:val="000000"/>
                <w:lang w:bidi="si-LK"/>
              </w:rPr>
              <w:t>DoA</w:t>
            </w:r>
            <w:proofErr w:type="spellEnd"/>
            <w:r w:rsidRPr="008973DD">
              <w:rPr>
                <w:rFonts w:asciiTheme="minorHAnsi" w:hAnsiTheme="minorHAnsi" w:cstheme="minorHAnsi"/>
                <w:color w:val="000000"/>
                <w:lang w:bidi="si-LK"/>
              </w:rPr>
              <w:t xml:space="preserve"> </w:t>
            </w:r>
          </w:p>
        </w:tc>
        <w:tc>
          <w:tcPr>
            <w:tcW w:w="1080" w:type="dxa"/>
            <w:tcBorders>
              <w:top w:val="single" w:sz="4" w:space="0" w:color="000000"/>
              <w:left w:val="single" w:sz="4" w:space="0" w:color="808080"/>
              <w:bottom w:val="single" w:sz="4" w:space="0" w:color="000000"/>
              <w:right w:val="single" w:sz="4" w:space="0" w:color="808080"/>
            </w:tcBorders>
          </w:tcPr>
          <w:p w14:paraId="42011FE5"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403172FA"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4414B20B"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68FF25F0"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1F5F4F24"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266BE196"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tcPr>
          <w:p w14:paraId="13B9F23D" w14:textId="77777777" w:rsidR="008973DD" w:rsidRPr="008973DD" w:rsidRDefault="008973DD" w:rsidP="00791098">
            <w:pPr>
              <w:rPr>
                <w:rFonts w:asciiTheme="minorHAnsi" w:hAnsiTheme="minorHAnsi" w:cstheme="minorHAnsi"/>
                <w:color w:val="000000"/>
              </w:rPr>
            </w:pPr>
          </w:p>
        </w:tc>
      </w:tr>
      <w:tr w:rsidR="008973DD" w:rsidRPr="002A7044" w14:paraId="5C2B31C3"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04FD40FE"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The Seed Act No 22 of 2003 </w:t>
            </w:r>
          </w:p>
        </w:tc>
        <w:tc>
          <w:tcPr>
            <w:tcW w:w="1620" w:type="dxa"/>
            <w:tcBorders>
              <w:top w:val="single" w:sz="4" w:space="0" w:color="000000"/>
              <w:left w:val="single" w:sz="4" w:space="0" w:color="808080"/>
              <w:bottom w:val="single" w:sz="4" w:space="0" w:color="000000"/>
              <w:right w:val="single" w:sz="4" w:space="0" w:color="808080"/>
            </w:tcBorders>
          </w:tcPr>
          <w:p w14:paraId="02B2F61E" w14:textId="77777777" w:rsidR="008973DD" w:rsidRPr="008973DD" w:rsidRDefault="008973DD" w:rsidP="00791098">
            <w:pPr>
              <w:rPr>
                <w:rFonts w:asciiTheme="minorHAnsi" w:hAnsiTheme="minorHAnsi" w:cstheme="minorHAnsi"/>
                <w:color w:val="000000"/>
                <w:lang w:bidi="si-LK"/>
              </w:rPr>
            </w:pPr>
            <w:r w:rsidRPr="008973DD">
              <w:rPr>
                <w:rFonts w:asciiTheme="minorHAnsi" w:hAnsiTheme="minorHAnsi" w:cstheme="minorHAnsi"/>
                <w:color w:val="000000"/>
                <w:lang w:bidi="si-LK"/>
              </w:rPr>
              <w:t>DOA</w:t>
            </w:r>
          </w:p>
          <w:p w14:paraId="269885F6" w14:textId="77777777" w:rsidR="008973DD" w:rsidRPr="008973DD" w:rsidRDefault="008973DD" w:rsidP="00791098">
            <w:pPr>
              <w:rPr>
                <w:rFonts w:asciiTheme="minorHAnsi" w:hAnsiTheme="minorHAnsi" w:cstheme="minorHAnsi"/>
                <w:color w:val="000000"/>
                <w:lang w:bidi="si-LK"/>
              </w:rPr>
            </w:pPr>
          </w:p>
          <w:p w14:paraId="4457F687"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 xml:space="preserve"> </w:t>
            </w:r>
          </w:p>
        </w:tc>
        <w:tc>
          <w:tcPr>
            <w:tcW w:w="1080" w:type="dxa"/>
            <w:tcBorders>
              <w:top w:val="single" w:sz="4" w:space="0" w:color="000000"/>
              <w:left w:val="single" w:sz="4" w:space="0" w:color="808080"/>
              <w:bottom w:val="single" w:sz="4" w:space="0" w:color="000000"/>
              <w:right w:val="single" w:sz="4" w:space="0" w:color="808080"/>
            </w:tcBorders>
          </w:tcPr>
          <w:p w14:paraId="7D996072"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0015F997"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6614D937"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48DDF823"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06852013"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3C2C25B6"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tcPr>
          <w:p w14:paraId="04AF826D" w14:textId="77777777" w:rsidR="008973DD" w:rsidRPr="008973DD" w:rsidRDefault="008973DD" w:rsidP="00791098">
            <w:pPr>
              <w:rPr>
                <w:rFonts w:asciiTheme="minorHAnsi" w:hAnsiTheme="minorHAnsi" w:cstheme="minorHAnsi"/>
                <w:color w:val="000000"/>
              </w:rPr>
            </w:pPr>
          </w:p>
        </w:tc>
      </w:tr>
      <w:tr w:rsidR="008973DD" w:rsidRPr="002A7044" w14:paraId="424ECD58"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0020FF74"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Soil Conservation Act No. 25 of 1951 and its amendments </w:t>
            </w:r>
          </w:p>
        </w:tc>
        <w:tc>
          <w:tcPr>
            <w:tcW w:w="1620" w:type="dxa"/>
            <w:tcBorders>
              <w:top w:val="single" w:sz="4" w:space="0" w:color="000000"/>
              <w:left w:val="single" w:sz="4" w:space="0" w:color="808080"/>
              <w:bottom w:val="single" w:sz="4" w:space="0" w:color="000000"/>
              <w:right w:val="single" w:sz="4" w:space="0" w:color="808080"/>
            </w:tcBorders>
          </w:tcPr>
          <w:p w14:paraId="0CF4B10D" w14:textId="77777777" w:rsidR="008973DD" w:rsidRPr="008973DD" w:rsidRDefault="008973DD" w:rsidP="00791098">
            <w:pPr>
              <w:rPr>
                <w:rFonts w:asciiTheme="minorHAnsi" w:hAnsiTheme="minorHAnsi" w:cstheme="minorHAnsi"/>
                <w:color w:val="000000"/>
                <w:lang w:bidi="si-LK"/>
              </w:rPr>
            </w:pPr>
          </w:p>
          <w:p w14:paraId="22390423" w14:textId="77777777" w:rsidR="008973DD" w:rsidRPr="008973DD" w:rsidRDefault="008973DD" w:rsidP="00791098">
            <w:pPr>
              <w:rPr>
                <w:rFonts w:asciiTheme="minorHAnsi" w:hAnsiTheme="minorHAnsi" w:cstheme="minorHAnsi"/>
                <w:color w:val="000000"/>
              </w:rPr>
            </w:pPr>
            <w:proofErr w:type="spellStart"/>
            <w:r w:rsidRPr="008973DD">
              <w:rPr>
                <w:rFonts w:asciiTheme="minorHAnsi" w:hAnsiTheme="minorHAnsi" w:cstheme="minorHAnsi"/>
                <w:color w:val="000000"/>
                <w:lang w:bidi="si-LK"/>
              </w:rPr>
              <w:t>DoA</w:t>
            </w:r>
            <w:proofErr w:type="spellEnd"/>
            <w:r w:rsidRPr="008973DD">
              <w:rPr>
                <w:rFonts w:asciiTheme="minorHAnsi" w:hAnsiTheme="minorHAnsi" w:cstheme="minorHAnsi"/>
                <w:color w:val="000000"/>
                <w:lang w:bidi="si-LK"/>
              </w:rPr>
              <w:t xml:space="preserve"> </w:t>
            </w:r>
            <w:r w:rsidRPr="008973DD">
              <w:rPr>
                <w:rFonts w:asciiTheme="minorHAnsi" w:hAnsiTheme="minorHAnsi" w:cstheme="minorHAnsi"/>
                <w:color w:val="000000"/>
              </w:rPr>
              <w:t xml:space="preserve"> </w:t>
            </w:r>
          </w:p>
        </w:tc>
        <w:tc>
          <w:tcPr>
            <w:tcW w:w="1080" w:type="dxa"/>
            <w:tcBorders>
              <w:top w:val="single" w:sz="4" w:space="0" w:color="000000"/>
              <w:left w:val="single" w:sz="4" w:space="0" w:color="808080"/>
              <w:bottom w:val="single" w:sz="4" w:space="0" w:color="000000"/>
              <w:right w:val="single" w:sz="4" w:space="0" w:color="808080"/>
            </w:tcBorders>
          </w:tcPr>
          <w:p w14:paraId="00606E5A"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0E762D68"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p w14:paraId="66B89B2D"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80"/>
              </w:rPr>
              <w:t>not in force</w:t>
            </w:r>
          </w:p>
        </w:tc>
        <w:tc>
          <w:tcPr>
            <w:tcW w:w="720" w:type="dxa"/>
            <w:tcBorders>
              <w:top w:val="single" w:sz="4" w:space="0" w:color="000000"/>
              <w:left w:val="single" w:sz="4" w:space="0" w:color="808080"/>
              <w:bottom w:val="single" w:sz="4" w:space="0" w:color="000000"/>
              <w:right w:val="single" w:sz="4" w:space="0" w:color="808080"/>
            </w:tcBorders>
            <w:vAlign w:val="center"/>
          </w:tcPr>
          <w:p w14:paraId="5325FA3D"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72FDC535"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0C83744C"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2A114CC5"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tcPr>
          <w:p w14:paraId="74BAEE24" w14:textId="77777777" w:rsidR="008973DD" w:rsidRPr="008973DD" w:rsidRDefault="008973DD" w:rsidP="00791098">
            <w:pPr>
              <w:rPr>
                <w:rFonts w:asciiTheme="minorHAnsi" w:hAnsiTheme="minorHAnsi" w:cstheme="minorHAnsi"/>
                <w:color w:val="000000"/>
              </w:rPr>
            </w:pPr>
          </w:p>
        </w:tc>
      </w:tr>
      <w:tr w:rsidR="008973DD" w:rsidRPr="002A7044" w14:paraId="0B68E60A"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642882F5"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rPr>
              <w:t xml:space="preserve">Agrarian Development Act No. 46 of 2000 </w:t>
            </w:r>
            <w:r w:rsidRPr="008973DD">
              <w:rPr>
                <w:rFonts w:asciiTheme="minorHAnsi" w:hAnsiTheme="minorHAnsi" w:cstheme="minorHAnsi"/>
                <w:color w:val="000000"/>
                <w:lang w:bidi="si-LK"/>
              </w:rPr>
              <w:t xml:space="preserve">and its amendments </w:t>
            </w:r>
          </w:p>
        </w:tc>
        <w:tc>
          <w:tcPr>
            <w:tcW w:w="1620" w:type="dxa"/>
            <w:tcBorders>
              <w:top w:val="single" w:sz="4" w:space="0" w:color="000000"/>
              <w:left w:val="single" w:sz="4" w:space="0" w:color="808080"/>
              <w:bottom w:val="single" w:sz="4" w:space="0" w:color="000000"/>
              <w:right w:val="single" w:sz="4" w:space="0" w:color="808080"/>
            </w:tcBorders>
          </w:tcPr>
          <w:p w14:paraId="0134D09E" w14:textId="77777777" w:rsidR="008973DD" w:rsidRPr="008973DD" w:rsidRDefault="008973DD" w:rsidP="00791098">
            <w:pPr>
              <w:rPr>
                <w:rFonts w:asciiTheme="minorHAnsi" w:hAnsiTheme="minorHAnsi" w:cstheme="minorHAnsi"/>
                <w:color w:val="000000"/>
                <w:lang w:bidi="si-LK"/>
              </w:rPr>
            </w:pPr>
          </w:p>
          <w:p w14:paraId="6233E82E"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 xml:space="preserve">DAD </w:t>
            </w:r>
            <w:r w:rsidRPr="008973DD">
              <w:rPr>
                <w:rFonts w:asciiTheme="minorHAnsi" w:hAnsiTheme="minorHAnsi" w:cstheme="minorHAnsi"/>
                <w:color w:val="000000"/>
              </w:rPr>
              <w:t xml:space="preserve"> </w:t>
            </w:r>
          </w:p>
        </w:tc>
        <w:tc>
          <w:tcPr>
            <w:tcW w:w="1080" w:type="dxa"/>
            <w:tcBorders>
              <w:top w:val="single" w:sz="4" w:space="0" w:color="000000"/>
              <w:left w:val="single" w:sz="4" w:space="0" w:color="808080"/>
              <w:bottom w:val="single" w:sz="4" w:space="0" w:color="000000"/>
              <w:right w:val="single" w:sz="4" w:space="0" w:color="808080"/>
            </w:tcBorders>
          </w:tcPr>
          <w:p w14:paraId="7C5F220C"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vAlign w:val="center"/>
          </w:tcPr>
          <w:p w14:paraId="68AA1CE5"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NA</w:t>
            </w:r>
          </w:p>
        </w:tc>
        <w:tc>
          <w:tcPr>
            <w:tcW w:w="72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612364D1"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   x</w:t>
            </w:r>
          </w:p>
        </w:tc>
        <w:tc>
          <w:tcPr>
            <w:tcW w:w="3780" w:type="dxa"/>
            <w:gridSpan w:val="7"/>
            <w:tcBorders>
              <w:top w:val="single" w:sz="4" w:space="0" w:color="000000"/>
              <w:left w:val="single" w:sz="4" w:space="0" w:color="808080"/>
              <w:bottom w:val="single" w:sz="4" w:space="0" w:color="000000"/>
              <w:right w:val="single" w:sz="4" w:space="0" w:color="FFFFFF"/>
            </w:tcBorders>
            <w:vAlign w:val="center"/>
          </w:tcPr>
          <w:p w14:paraId="25DF87C9" w14:textId="77777777" w:rsidR="008973DD" w:rsidRPr="008973DD" w:rsidRDefault="008973DD" w:rsidP="00791098">
            <w:pPr>
              <w:rPr>
                <w:rFonts w:asciiTheme="minorHAnsi" w:hAnsiTheme="minorHAnsi" w:cstheme="minorHAnsi"/>
                <w:color w:val="000080"/>
              </w:rPr>
            </w:pPr>
            <w:r w:rsidRPr="008973DD">
              <w:rPr>
                <w:rFonts w:asciiTheme="minorHAnsi" w:hAnsiTheme="minorHAnsi" w:cstheme="minorHAnsi"/>
                <w:color w:val="000080"/>
              </w:rPr>
              <w:t>Fees: Unclaimed rents by tenant farmers</w:t>
            </w:r>
          </w:p>
        </w:tc>
      </w:tr>
      <w:tr w:rsidR="008973DD" w:rsidRPr="002A7044" w14:paraId="214FE44F" w14:textId="77777777" w:rsidTr="008973DD">
        <w:trPr>
          <w:trHeight w:val="70"/>
        </w:trPr>
        <w:tc>
          <w:tcPr>
            <w:tcW w:w="1980" w:type="dxa"/>
            <w:tcBorders>
              <w:top w:val="single" w:sz="4" w:space="0" w:color="000000"/>
              <w:left w:val="single" w:sz="4" w:space="0" w:color="FFFFFF"/>
              <w:bottom w:val="single" w:sz="4" w:space="0" w:color="000000"/>
              <w:right w:val="single" w:sz="4" w:space="0" w:color="808080"/>
            </w:tcBorders>
          </w:tcPr>
          <w:p w14:paraId="524DD411"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Felling of Trees (Control) Act No. 9 of 1951 and its amendments </w:t>
            </w:r>
          </w:p>
        </w:tc>
        <w:tc>
          <w:tcPr>
            <w:tcW w:w="1620" w:type="dxa"/>
            <w:tcBorders>
              <w:top w:val="single" w:sz="4" w:space="0" w:color="000000"/>
              <w:left w:val="single" w:sz="4" w:space="0" w:color="808080"/>
              <w:bottom w:val="single" w:sz="4" w:space="0" w:color="000000"/>
              <w:right w:val="single" w:sz="4" w:space="0" w:color="808080"/>
            </w:tcBorders>
          </w:tcPr>
          <w:p w14:paraId="0ECD6021" w14:textId="77777777" w:rsidR="008973DD" w:rsidRPr="008973DD" w:rsidRDefault="008973DD" w:rsidP="00791098">
            <w:pPr>
              <w:rPr>
                <w:rFonts w:asciiTheme="minorHAnsi" w:hAnsiTheme="minorHAnsi" w:cstheme="minorHAnsi"/>
                <w:color w:val="000000"/>
                <w:lang w:bidi="si-LK"/>
              </w:rPr>
            </w:pPr>
          </w:p>
          <w:p w14:paraId="77ED7E31"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DAD</w:t>
            </w:r>
          </w:p>
        </w:tc>
        <w:tc>
          <w:tcPr>
            <w:tcW w:w="1080" w:type="dxa"/>
            <w:tcBorders>
              <w:top w:val="single" w:sz="4" w:space="0" w:color="000000"/>
              <w:left w:val="single" w:sz="4" w:space="0" w:color="808080"/>
              <w:bottom w:val="single" w:sz="4" w:space="0" w:color="000000"/>
              <w:right w:val="single" w:sz="4" w:space="0" w:color="808080"/>
            </w:tcBorders>
          </w:tcPr>
          <w:p w14:paraId="6D0F2472"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78F612FC"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13434B34"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17A8D4E6"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shd w:val="clear" w:color="auto" w:fill="E0E0E0"/>
          </w:tcPr>
          <w:p w14:paraId="42FC2836" w14:textId="77777777" w:rsidR="008973DD" w:rsidRPr="008973DD" w:rsidRDefault="008973DD" w:rsidP="00791098">
            <w:pPr>
              <w:rPr>
                <w:rFonts w:asciiTheme="minorHAnsi" w:hAnsiTheme="minorHAnsi" w:cstheme="minorHAnsi"/>
                <w:color w:val="000000"/>
              </w:rPr>
            </w:pPr>
          </w:p>
          <w:p w14:paraId="5E9F8358"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tc>
        <w:tc>
          <w:tcPr>
            <w:tcW w:w="1980" w:type="dxa"/>
            <w:gridSpan w:val="4"/>
            <w:tcBorders>
              <w:top w:val="single" w:sz="4" w:space="0" w:color="000000"/>
              <w:left w:val="single" w:sz="4" w:space="0" w:color="808080"/>
              <w:bottom w:val="single" w:sz="4" w:space="0" w:color="000000"/>
              <w:right w:val="single" w:sz="4" w:space="0" w:color="FFFFFF"/>
            </w:tcBorders>
          </w:tcPr>
          <w:p w14:paraId="287EBE1B" w14:textId="77777777" w:rsidR="008973DD" w:rsidRPr="008973DD" w:rsidRDefault="008973DD" w:rsidP="00791098">
            <w:pPr>
              <w:rPr>
                <w:rFonts w:asciiTheme="minorHAnsi" w:hAnsiTheme="minorHAnsi" w:cstheme="minorHAnsi"/>
                <w:color w:val="000080"/>
              </w:rPr>
            </w:pPr>
            <w:r w:rsidRPr="008973DD">
              <w:rPr>
                <w:rFonts w:asciiTheme="minorHAnsi" w:hAnsiTheme="minorHAnsi" w:cstheme="minorHAnsi"/>
                <w:color w:val="000080"/>
              </w:rPr>
              <w:t>CGF of FD can sell illegally felled/ transported timber</w:t>
            </w:r>
          </w:p>
        </w:tc>
      </w:tr>
      <w:tr w:rsidR="008973DD" w:rsidRPr="002A7044" w14:paraId="2898DBCB"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10F65DA7"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Control of Pesticides Act No. 33 of 1980 and its amendments </w:t>
            </w:r>
          </w:p>
        </w:tc>
        <w:tc>
          <w:tcPr>
            <w:tcW w:w="1620" w:type="dxa"/>
            <w:tcBorders>
              <w:top w:val="single" w:sz="4" w:space="0" w:color="000000"/>
              <w:left w:val="single" w:sz="4" w:space="0" w:color="808080"/>
              <w:bottom w:val="single" w:sz="4" w:space="0" w:color="000000"/>
              <w:right w:val="single" w:sz="4" w:space="0" w:color="808080"/>
            </w:tcBorders>
          </w:tcPr>
          <w:p w14:paraId="567396EC" w14:textId="77777777" w:rsidR="008973DD" w:rsidRPr="008973DD" w:rsidRDefault="008973DD" w:rsidP="00791098">
            <w:pPr>
              <w:rPr>
                <w:rFonts w:asciiTheme="minorHAnsi" w:hAnsiTheme="minorHAnsi" w:cstheme="minorHAnsi"/>
                <w:color w:val="000000"/>
              </w:rPr>
            </w:pPr>
            <w:proofErr w:type="spellStart"/>
            <w:r w:rsidRPr="008973DD">
              <w:rPr>
                <w:rFonts w:asciiTheme="minorHAnsi" w:hAnsiTheme="minorHAnsi" w:cstheme="minorHAnsi"/>
                <w:color w:val="000000"/>
                <w:lang w:bidi="si-LK"/>
              </w:rPr>
              <w:t>DoA</w:t>
            </w:r>
            <w:proofErr w:type="spellEnd"/>
            <w:r w:rsidRPr="008973DD">
              <w:rPr>
                <w:rFonts w:asciiTheme="minorHAnsi" w:hAnsiTheme="minorHAnsi" w:cstheme="minorHAnsi"/>
                <w:color w:val="000000"/>
                <w:lang w:bidi="si-LK"/>
              </w:rPr>
              <w:t xml:space="preserve"> </w:t>
            </w:r>
          </w:p>
        </w:tc>
        <w:tc>
          <w:tcPr>
            <w:tcW w:w="1080" w:type="dxa"/>
            <w:tcBorders>
              <w:top w:val="single" w:sz="4" w:space="0" w:color="000000"/>
              <w:left w:val="single" w:sz="4" w:space="0" w:color="808080"/>
              <w:bottom w:val="single" w:sz="4" w:space="0" w:color="000000"/>
              <w:right w:val="single" w:sz="4" w:space="0" w:color="808080"/>
            </w:tcBorders>
          </w:tcPr>
          <w:p w14:paraId="2B71D1F9"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6E6E6"/>
            <w:vAlign w:val="center"/>
          </w:tcPr>
          <w:p w14:paraId="4891090F" w14:textId="77777777" w:rsidR="008973DD" w:rsidRPr="008973DD" w:rsidRDefault="008973DD" w:rsidP="00791098">
            <w:pPr>
              <w:jc w:val="center"/>
              <w:rPr>
                <w:rFonts w:asciiTheme="minorHAnsi" w:hAnsiTheme="minorHAnsi" w:cstheme="minorHAnsi"/>
                <w:color w:val="000000"/>
              </w:rPr>
            </w:pPr>
          </w:p>
          <w:p w14:paraId="7F1568D9"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73645C51"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6C3689A2"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034AEF96"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6CD5F7F9"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tcPr>
          <w:p w14:paraId="67970B49" w14:textId="77777777" w:rsidR="008973DD" w:rsidRPr="008973DD" w:rsidRDefault="008973DD" w:rsidP="00791098">
            <w:pPr>
              <w:rPr>
                <w:rFonts w:asciiTheme="minorHAnsi" w:hAnsiTheme="minorHAnsi" w:cstheme="minorHAnsi"/>
                <w:color w:val="000000"/>
              </w:rPr>
            </w:pPr>
          </w:p>
        </w:tc>
      </w:tr>
      <w:tr w:rsidR="008973DD" w:rsidRPr="002A7044" w14:paraId="5A007449"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0B34C048" w14:textId="77777777" w:rsidR="008973DD" w:rsidRPr="008973DD" w:rsidRDefault="008973DD" w:rsidP="00791098">
            <w:pPr>
              <w:ind w:left="72"/>
              <w:rPr>
                <w:rFonts w:asciiTheme="minorHAnsi" w:hAnsiTheme="minorHAnsi" w:cstheme="minorHAnsi"/>
                <w:color w:val="000000"/>
              </w:rPr>
            </w:pPr>
          </w:p>
          <w:p w14:paraId="01C15337"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rPr>
              <w:t>Promotion of Export Agriculture Act, No. 46 of 1992</w:t>
            </w:r>
          </w:p>
        </w:tc>
        <w:tc>
          <w:tcPr>
            <w:tcW w:w="1620" w:type="dxa"/>
            <w:tcBorders>
              <w:top w:val="single" w:sz="4" w:space="0" w:color="000000"/>
              <w:left w:val="single" w:sz="4" w:space="0" w:color="808080"/>
              <w:bottom w:val="single" w:sz="4" w:space="0" w:color="000000"/>
              <w:right w:val="single" w:sz="4" w:space="0" w:color="808080"/>
            </w:tcBorders>
          </w:tcPr>
          <w:p w14:paraId="70A21C46" w14:textId="77777777" w:rsidR="008973DD" w:rsidRPr="008973DD" w:rsidRDefault="008973DD" w:rsidP="00791098">
            <w:pPr>
              <w:rPr>
                <w:rFonts w:asciiTheme="minorHAnsi" w:hAnsiTheme="minorHAnsi" w:cstheme="minorHAnsi"/>
                <w:color w:val="000000"/>
                <w:lang w:bidi="si-LK"/>
              </w:rPr>
            </w:pPr>
          </w:p>
          <w:p w14:paraId="1623AB96" w14:textId="77777777" w:rsidR="008973DD" w:rsidRPr="008973DD" w:rsidRDefault="008973DD" w:rsidP="00791098">
            <w:pPr>
              <w:rPr>
                <w:rFonts w:asciiTheme="minorHAnsi" w:hAnsiTheme="minorHAnsi" w:cstheme="minorHAnsi"/>
                <w:color w:val="000000"/>
                <w:lang w:bidi="si-LK"/>
              </w:rPr>
            </w:pPr>
            <w:r w:rsidRPr="008973DD">
              <w:rPr>
                <w:rFonts w:asciiTheme="minorHAnsi" w:hAnsiTheme="minorHAnsi" w:cstheme="minorHAnsi"/>
                <w:color w:val="000000"/>
                <w:lang w:bidi="si-LK"/>
              </w:rPr>
              <w:t xml:space="preserve">DEA </w:t>
            </w:r>
          </w:p>
        </w:tc>
        <w:tc>
          <w:tcPr>
            <w:tcW w:w="1080" w:type="dxa"/>
            <w:tcBorders>
              <w:top w:val="single" w:sz="4" w:space="0" w:color="000000"/>
              <w:left w:val="single" w:sz="4" w:space="0" w:color="808080"/>
              <w:bottom w:val="single" w:sz="4" w:space="0" w:color="000000"/>
              <w:right w:val="single" w:sz="4" w:space="0" w:color="808080"/>
            </w:tcBorders>
          </w:tcPr>
          <w:p w14:paraId="717A5129"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6E6E6"/>
            <w:vAlign w:val="center"/>
          </w:tcPr>
          <w:p w14:paraId="7C889085"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1E1D3D9F"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6E6E6"/>
          </w:tcPr>
          <w:p w14:paraId="62D1C79D" w14:textId="77777777" w:rsidR="008973DD" w:rsidRPr="008973DD" w:rsidRDefault="008973DD" w:rsidP="00791098">
            <w:pPr>
              <w:rPr>
                <w:rFonts w:asciiTheme="minorHAnsi" w:hAnsiTheme="minorHAnsi" w:cstheme="minorHAnsi"/>
                <w:color w:val="000000"/>
              </w:rPr>
            </w:pPr>
          </w:p>
          <w:p w14:paraId="24E3BD7C"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tc>
        <w:tc>
          <w:tcPr>
            <w:tcW w:w="900" w:type="dxa"/>
            <w:gridSpan w:val="2"/>
            <w:tcBorders>
              <w:top w:val="single" w:sz="4" w:space="0" w:color="000000"/>
              <w:left w:val="single" w:sz="4" w:space="0" w:color="808080"/>
              <w:bottom w:val="single" w:sz="4" w:space="0" w:color="000000"/>
              <w:right w:val="single" w:sz="4" w:space="0" w:color="808080"/>
            </w:tcBorders>
          </w:tcPr>
          <w:p w14:paraId="4FE903A8"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393E140E"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tcPr>
          <w:p w14:paraId="1D9436A1" w14:textId="77777777" w:rsidR="008973DD" w:rsidRPr="008973DD" w:rsidRDefault="008973DD" w:rsidP="00791098">
            <w:pPr>
              <w:rPr>
                <w:rFonts w:asciiTheme="minorHAnsi" w:hAnsiTheme="minorHAnsi" w:cstheme="minorHAnsi"/>
                <w:color w:val="000000"/>
              </w:rPr>
            </w:pPr>
          </w:p>
        </w:tc>
      </w:tr>
      <w:tr w:rsidR="008973DD" w:rsidRPr="002A7044" w14:paraId="6AEB0E95"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5E79FE64"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Animal Diseases Act No 59 of 1992 </w:t>
            </w:r>
          </w:p>
          <w:p w14:paraId="0921356C" w14:textId="77777777" w:rsidR="008973DD" w:rsidRPr="008973DD" w:rsidRDefault="008973DD" w:rsidP="00791098">
            <w:pPr>
              <w:ind w:left="72"/>
              <w:rPr>
                <w:rFonts w:asciiTheme="minorHAnsi" w:hAnsiTheme="minorHAnsi" w:cstheme="minorHAnsi"/>
                <w:color w:val="000000"/>
                <w:lang w:bidi="si-LK"/>
              </w:rPr>
            </w:pPr>
          </w:p>
        </w:tc>
        <w:tc>
          <w:tcPr>
            <w:tcW w:w="1620" w:type="dxa"/>
            <w:tcBorders>
              <w:top w:val="single" w:sz="4" w:space="0" w:color="000000"/>
              <w:left w:val="single" w:sz="4" w:space="0" w:color="808080"/>
              <w:bottom w:val="single" w:sz="4" w:space="0" w:color="000000"/>
              <w:right w:val="single" w:sz="4" w:space="0" w:color="808080"/>
            </w:tcBorders>
          </w:tcPr>
          <w:p w14:paraId="5A0B23B5" w14:textId="77777777" w:rsidR="008973DD" w:rsidRPr="008973DD" w:rsidRDefault="008973DD" w:rsidP="00791098">
            <w:pPr>
              <w:rPr>
                <w:rFonts w:asciiTheme="minorHAnsi" w:hAnsiTheme="minorHAnsi" w:cstheme="minorHAnsi"/>
                <w:color w:val="000000"/>
                <w:lang w:bidi="si-LK"/>
              </w:rPr>
            </w:pPr>
          </w:p>
          <w:p w14:paraId="7865CEC9"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 xml:space="preserve">DAPH </w:t>
            </w:r>
          </w:p>
        </w:tc>
        <w:tc>
          <w:tcPr>
            <w:tcW w:w="1080" w:type="dxa"/>
            <w:tcBorders>
              <w:top w:val="single" w:sz="4" w:space="0" w:color="000000"/>
              <w:left w:val="single" w:sz="4" w:space="0" w:color="808080"/>
              <w:bottom w:val="single" w:sz="4" w:space="0" w:color="000000"/>
              <w:right w:val="single" w:sz="4" w:space="0" w:color="808080"/>
            </w:tcBorders>
          </w:tcPr>
          <w:p w14:paraId="74BAF4C5"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6E6E6"/>
            <w:vAlign w:val="center"/>
          </w:tcPr>
          <w:p w14:paraId="434D1E3B" w14:textId="77777777" w:rsidR="008973DD" w:rsidRPr="008973DD" w:rsidRDefault="008973DD" w:rsidP="00791098">
            <w:pPr>
              <w:jc w:val="center"/>
              <w:rPr>
                <w:rFonts w:asciiTheme="minorHAnsi" w:hAnsiTheme="minorHAnsi" w:cstheme="minorHAnsi"/>
                <w:color w:val="000000"/>
              </w:rPr>
            </w:pPr>
          </w:p>
          <w:p w14:paraId="008D903C"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51E2F642"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0B0E1F1E"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37CC785F"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3A32B060"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tcPr>
          <w:p w14:paraId="45A520E0" w14:textId="77777777" w:rsidR="008973DD" w:rsidRPr="008973DD" w:rsidRDefault="008973DD" w:rsidP="00791098">
            <w:pPr>
              <w:rPr>
                <w:rFonts w:asciiTheme="minorHAnsi" w:hAnsiTheme="minorHAnsi" w:cstheme="minorHAnsi"/>
                <w:color w:val="000000"/>
              </w:rPr>
            </w:pPr>
          </w:p>
        </w:tc>
      </w:tr>
      <w:tr w:rsidR="008973DD" w:rsidRPr="002A7044" w14:paraId="2262FD76"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569B68D5"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Animals Act Nos. 29 of 1958, and its amendments l</w:t>
            </w:r>
            <w:r w:rsidRPr="008973DD">
              <w:rPr>
                <w:rFonts w:asciiTheme="minorHAnsi" w:hAnsiTheme="minorHAnsi" w:cstheme="minorHAnsi"/>
                <w:color w:val="000000"/>
              </w:rPr>
              <w:t xml:space="preserve"> </w:t>
            </w:r>
            <w:r w:rsidRPr="008973DD">
              <w:rPr>
                <w:rFonts w:asciiTheme="minorHAnsi" w:hAnsiTheme="minorHAnsi" w:cstheme="minorHAnsi"/>
                <w:color w:val="000000"/>
                <w:lang w:bidi="si-LK"/>
              </w:rPr>
              <w:t xml:space="preserve">No 46 of 1988 </w:t>
            </w:r>
          </w:p>
        </w:tc>
        <w:tc>
          <w:tcPr>
            <w:tcW w:w="1620" w:type="dxa"/>
            <w:tcBorders>
              <w:top w:val="single" w:sz="4" w:space="0" w:color="000000"/>
              <w:left w:val="single" w:sz="4" w:space="0" w:color="808080"/>
              <w:bottom w:val="single" w:sz="4" w:space="0" w:color="000000"/>
              <w:right w:val="single" w:sz="4" w:space="0" w:color="808080"/>
            </w:tcBorders>
          </w:tcPr>
          <w:p w14:paraId="23119337" w14:textId="77777777" w:rsidR="008973DD" w:rsidRPr="008973DD" w:rsidRDefault="008973DD" w:rsidP="00791098">
            <w:pPr>
              <w:rPr>
                <w:rFonts w:asciiTheme="minorHAnsi" w:hAnsiTheme="minorHAnsi" w:cstheme="minorHAnsi"/>
                <w:color w:val="000000"/>
                <w:lang w:bidi="si-LK"/>
              </w:rPr>
            </w:pPr>
          </w:p>
          <w:p w14:paraId="744964AB"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 xml:space="preserve">DAPH </w:t>
            </w:r>
          </w:p>
        </w:tc>
        <w:tc>
          <w:tcPr>
            <w:tcW w:w="1080" w:type="dxa"/>
            <w:tcBorders>
              <w:top w:val="single" w:sz="4" w:space="0" w:color="000000"/>
              <w:left w:val="single" w:sz="4" w:space="0" w:color="808080"/>
              <w:bottom w:val="single" w:sz="4" w:space="0" w:color="000000"/>
              <w:right w:val="single" w:sz="4" w:space="0" w:color="808080"/>
            </w:tcBorders>
          </w:tcPr>
          <w:p w14:paraId="3EA7DD19"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vAlign w:val="center"/>
          </w:tcPr>
          <w:p w14:paraId="48D9CDFD"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w:t>
            </w:r>
          </w:p>
        </w:tc>
        <w:tc>
          <w:tcPr>
            <w:tcW w:w="720" w:type="dxa"/>
            <w:tcBorders>
              <w:top w:val="single" w:sz="4" w:space="0" w:color="000000"/>
              <w:left w:val="single" w:sz="4" w:space="0" w:color="808080"/>
              <w:bottom w:val="single" w:sz="4" w:space="0" w:color="000000"/>
              <w:right w:val="single" w:sz="4" w:space="0" w:color="808080"/>
            </w:tcBorders>
            <w:vAlign w:val="center"/>
          </w:tcPr>
          <w:p w14:paraId="66C04ECE"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7A9C2440"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80"/>
              </w:rPr>
              <w:t>Sale of trespassing cattle funds to CF</w:t>
            </w:r>
          </w:p>
        </w:tc>
        <w:tc>
          <w:tcPr>
            <w:tcW w:w="900" w:type="dxa"/>
            <w:gridSpan w:val="2"/>
            <w:tcBorders>
              <w:top w:val="single" w:sz="4" w:space="0" w:color="000000"/>
              <w:left w:val="single" w:sz="4" w:space="0" w:color="808080"/>
              <w:bottom w:val="single" w:sz="4" w:space="0" w:color="000000"/>
              <w:right w:val="single" w:sz="4" w:space="0" w:color="808080"/>
            </w:tcBorders>
            <w:shd w:val="clear" w:color="auto" w:fill="E0E0E0"/>
          </w:tcPr>
          <w:p w14:paraId="5327AF46" w14:textId="77777777" w:rsidR="008973DD" w:rsidRPr="008973DD" w:rsidRDefault="008973DD" w:rsidP="00791098">
            <w:pPr>
              <w:rPr>
                <w:rFonts w:asciiTheme="minorHAnsi" w:hAnsiTheme="minorHAnsi" w:cstheme="minorHAnsi"/>
                <w:color w:val="000000"/>
              </w:rPr>
            </w:pPr>
          </w:p>
          <w:p w14:paraId="347BEC5E"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x  </w:t>
            </w:r>
          </w:p>
          <w:p w14:paraId="1127A71F" w14:textId="77777777" w:rsidR="008973DD" w:rsidRPr="008973DD" w:rsidRDefault="008973DD" w:rsidP="00791098">
            <w:pPr>
              <w:rPr>
                <w:rFonts w:asciiTheme="minorHAnsi" w:hAnsiTheme="minorHAnsi" w:cstheme="minorHAnsi"/>
                <w:color w:val="000080"/>
              </w:rPr>
            </w:pPr>
          </w:p>
        </w:tc>
        <w:tc>
          <w:tcPr>
            <w:tcW w:w="1080" w:type="dxa"/>
            <w:gridSpan w:val="2"/>
            <w:tcBorders>
              <w:top w:val="single" w:sz="4" w:space="0" w:color="000000"/>
              <w:left w:val="single" w:sz="4" w:space="0" w:color="808080"/>
              <w:bottom w:val="single" w:sz="4" w:space="0" w:color="000000"/>
              <w:right w:val="single" w:sz="4" w:space="0" w:color="808080"/>
            </w:tcBorders>
            <w:shd w:val="clear" w:color="auto" w:fill="E0E0E0"/>
          </w:tcPr>
          <w:p w14:paraId="394302FD" w14:textId="77777777" w:rsidR="008973DD" w:rsidRPr="008973DD" w:rsidRDefault="008973DD" w:rsidP="00791098">
            <w:pPr>
              <w:rPr>
                <w:rFonts w:asciiTheme="minorHAnsi" w:hAnsiTheme="minorHAnsi" w:cstheme="minorHAnsi"/>
                <w:color w:val="000000"/>
              </w:rPr>
            </w:pPr>
          </w:p>
          <w:p w14:paraId="5AD67CA0"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p w14:paraId="7177E25C" w14:textId="77777777" w:rsidR="008973DD" w:rsidRPr="008973DD" w:rsidRDefault="008973DD" w:rsidP="00791098">
            <w:pPr>
              <w:rPr>
                <w:rFonts w:asciiTheme="minorHAnsi" w:hAnsiTheme="minorHAnsi" w:cstheme="minorHAnsi"/>
                <w:color w:val="000080"/>
              </w:rPr>
            </w:pPr>
            <w:r w:rsidRPr="008973DD">
              <w:rPr>
                <w:rFonts w:asciiTheme="minorHAnsi" w:hAnsiTheme="minorHAnsi" w:cstheme="minorHAnsi"/>
                <w:color w:val="000080"/>
              </w:rPr>
              <w:t>For transport</w:t>
            </w:r>
          </w:p>
        </w:tc>
        <w:tc>
          <w:tcPr>
            <w:tcW w:w="900" w:type="dxa"/>
            <w:gridSpan w:val="2"/>
            <w:tcBorders>
              <w:top w:val="single" w:sz="4" w:space="0" w:color="000000"/>
              <w:left w:val="single" w:sz="4" w:space="0" w:color="808080"/>
              <w:bottom w:val="single" w:sz="4" w:space="0" w:color="000000"/>
              <w:right w:val="single" w:sz="4" w:space="0" w:color="FFFFFF"/>
            </w:tcBorders>
          </w:tcPr>
          <w:p w14:paraId="1F33D444" w14:textId="77777777" w:rsidR="008973DD" w:rsidRPr="008973DD" w:rsidRDefault="008973DD" w:rsidP="00791098">
            <w:pPr>
              <w:rPr>
                <w:rFonts w:asciiTheme="minorHAnsi" w:hAnsiTheme="minorHAnsi" w:cstheme="minorHAnsi"/>
                <w:color w:val="000000"/>
              </w:rPr>
            </w:pPr>
          </w:p>
        </w:tc>
      </w:tr>
      <w:tr w:rsidR="008973DD" w:rsidRPr="002A7044" w14:paraId="193B9EFD"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4AA259A7"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The National Zoological Gardens Act no.41 of 1982 </w:t>
            </w:r>
          </w:p>
        </w:tc>
        <w:tc>
          <w:tcPr>
            <w:tcW w:w="1620" w:type="dxa"/>
            <w:tcBorders>
              <w:top w:val="single" w:sz="4" w:space="0" w:color="000000"/>
              <w:left w:val="single" w:sz="4" w:space="0" w:color="808080"/>
              <w:bottom w:val="single" w:sz="4" w:space="0" w:color="000000"/>
              <w:right w:val="single" w:sz="4" w:space="0" w:color="808080"/>
            </w:tcBorders>
          </w:tcPr>
          <w:p w14:paraId="515647F0" w14:textId="77777777" w:rsidR="008973DD" w:rsidRPr="008973DD" w:rsidRDefault="008973DD" w:rsidP="00791098">
            <w:pPr>
              <w:rPr>
                <w:rFonts w:asciiTheme="minorHAnsi" w:hAnsiTheme="minorHAnsi" w:cstheme="minorHAnsi"/>
                <w:color w:val="000000"/>
                <w:lang w:bidi="si-LK"/>
              </w:rPr>
            </w:pPr>
          </w:p>
          <w:p w14:paraId="7612AE15"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 xml:space="preserve">DNZG </w:t>
            </w:r>
          </w:p>
        </w:tc>
        <w:tc>
          <w:tcPr>
            <w:tcW w:w="1080" w:type="dxa"/>
            <w:tcBorders>
              <w:top w:val="single" w:sz="4" w:space="0" w:color="000000"/>
              <w:left w:val="single" w:sz="4" w:space="0" w:color="808080"/>
              <w:bottom w:val="single" w:sz="4" w:space="0" w:color="000000"/>
              <w:right w:val="single" w:sz="4" w:space="0" w:color="808080"/>
            </w:tcBorders>
          </w:tcPr>
          <w:p w14:paraId="45AD4B0C"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Zoological Gardens Funds</w:t>
            </w:r>
          </w:p>
        </w:tc>
        <w:tc>
          <w:tcPr>
            <w:tcW w:w="900" w:type="dxa"/>
            <w:tcBorders>
              <w:top w:val="single" w:sz="4" w:space="0" w:color="000000"/>
              <w:left w:val="single" w:sz="4" w:space="0" w:color="808080"/>
              <w:bottom w:val="single" w:sz="4" w:space="0" w:color="000000"/>
              <w:right w:val="single" w:sz="4" w:space="0" w:color="808080"/>
            </w:tcBorders>
            <w:vAlign w:val="center"/>
          </w:tcPr>
          <w:p w14:paraId="2424E919"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w:t>
            </w:r>
          </w:p>
        </w:tc>
        <w:tc>
          <w:tcPr>
            <w:tcW w:w="720" w:type="dxa"/>
            <w:tcBorders>
              <w:top w:val="single" w:sz="4" w:space="0" w:color="000000"/>
              <w:left w:val="single" w:sz="4" w:space="0" w:color="808080"/>
              <w:bottom w:val="single" w:sz="4" w:space="0" w:color="000000"/>
              <w:right w:val="single" w:sz="4" w:space="0" w:color="808080"/>
            </w:tcBorders>
            <w:vAlign w:val="center"/>
          </w:tcPr>
          <w:p w14:paraId="370F207A"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5A5DAB3B"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shd w:val="clear" w:color="auto" w:fill="E6E6E6"/>
          </w:tcPr>
          <w:p w14:paraId="567ED824" w14:textId="77777777" w:rsidR="008973DD" w:rsidRPr="008973DD" w:rsidRDefault="008973DD" w:rsidP="00791098">
            <w:pPr>
              <w:rPr>
                <w:rFonts w:asciiTheme="minorHAnsi" w:hAnsiTheme="minorHAnsi" w:cstheme="minorHAnsi"/>
                <w:color w:val="000000"/>
              </w:rPr>
            </w:pPr>
          </w:p>
          <w:p w14:paraId="5B36B185"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p w14:paraId="5C45305A" w14:textId="77777777" w:rsidR="008973DD" w:rsidRPr="008973DD" w:rsidRDefault="008973DD" w:rsidP="00791098">
            <w:pPr>
              <w:rPr>
                <w:rFonts w:asciiTheme="minorHAnsi" w:hAnsiTheme="minorHAnsi" w:cstheme="minorHAnsi"/>
                <w:color w:val="000080"/>
              </w:rPr>
            </w:pPr>
            <w:r w:rsidRPr="008973DD">
              <w:rPr>
                <w:rFonts w:asciiTheme="minorHAnsi" w:hAnsiTheme="minorHAnsi" w:cstheme="minorHAnsi"/>
                <w:color w:val="000080"/>
              </w:rPr>
              <w:t>tickets</w:t>
            </w:r>
          </w:p>
        </w:tc>
        <w:tc>
          <w:tcPr>
            <w:tcW w:w="1080" w:type="dxa"/>
            <w:gridSpan w:val="2"/>
            <w:tcBorders>
              <w:top w:val="single" w:sz="4" w:space="0" w:color="000000"/>
              <w:left w:val="single" w:sz="4" w:space="0" w:color="808080"/>
              <w:bottom w:val="single" w:sz="4" w:space="0" w:color="000000"/>
              <w:right w:val="single" w:sz="4" w:space="0" w:color="808080"/>
            </w:tcBorders>
          </w:tcPr>
          <w:p w14:paraId="655CE241"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tcPr>
          <w:p w14:paraId="3760D797" w14:textId="77777777" w:rsidR="008973DD" w:rsidRPr="008973DD" w:rsidRDefault="008973DD" w:rsidP="00791098">
            <w:pPr>
              <w:rPr>
                <w:rFonts w:asciiTheme="minorHAnsi" w:hAnsiTheme="minorHAnsi" w:cstheme="minorHAnsi"/>
                <w:color w:val="000000"/>
              </w:rPr>
            </w:pPr>
          </w:p>
        </w:tc>
      </w:tr>
      <w:tr w:rsidR="008973DD" w:rsidRPr="002A7044" w14:paraId="246EDFD6"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1F4F0F4D"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The Botanic Gardens Ordinance No. 31 of 1928 and its amendments</w:t>
            </w:r>
          </w:p>
        </w:tc>
        <w:tc>
          <w:tcPr>
            <w:tcW w:w="1620" w:type="dxa"/>
            <w:tcBorders>
              <w:top w:val="single" w:sz="4" w:space="0" w:color="000000"/>
              <w:left w:val="single" w:sz="4" w:space="0" w:color="808080"/>
              <w:bottom w:val="single" w:sz="4" w:space="0" w:color="000000"/>
              <w:right w:val="single" w:sz="4" w:space="0" w:color="808080"/>
            </w:tcBorders>
          </w:tcPr>
          <w:p w14:paraId="370ACA13" w14:textId="77777777" w:rsidR="008973DD" w:rsidRPr="008973DD" w:rsidRDefault="008973DD" w:rsidP="00791098">
            <w:pPr>
              <w:rPr>
                <w:rFonts w:asciiTheme="minorHAnsi" w:hAnsiTheme="minorHAnsi" w:cstheme="minorHAnsi"/>
                <w:color w:val="000000"/>
                <w:lang w:bidi="si-LK"/>
              </w:rPr>
            </w:pPr>
          </w:p>
          <w:p w14:paraId="33F71139"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 xml:space="preserve">DNBG </w:t>
            </w:r>
          </w:p>
        </w:tc>
        <w:tc>
          <w:tcPr>
            <w:tcW w:w="1080" w:type="dxa"/>
            <w:tcBorders>
              <w:top w:val="single" w:sz="4" w:space="0" w:color="000000"/>
              <w:left w:val="single" w:sz="4" w:space="0" w:color="808080"/>
              <w:bottom w:val="single" w:sz="4" w:space="0" w:color="000000"/>
              <w:right w:val="single" w:sz="4" w:space="0" w:color="808080"/>
            </w:tcBorders>
          </w:tcPr>
          <w:p w14:paraId="285C74C6"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Botanic Gardens Fund</w:t>
            </w:r>
          </w:p>
        </w:tc>
        <w:tc>
          <w:tcPr>
            <w:tcW w:w="900" w:type="dxa"/>
            <w:tcBorders>
              <w:top w:val="single" w:sz="4" w:space="0" w:color="000000"/>
              <w:left w:val="single" w:sz="4" w:space="0" w:color="808080"/>
              <w:bottom w:val="single" w:sz="4" w:space="0" w:color="000000"/>
              <w:right w:val="single" w:sz="4" w:space="0" w:color="808080"/>
            </w:tcBorders>
            <w:vAlign w:val="center"/>
          </w:tcPr>
          <w:p w14:paraId="7DF8AB30"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47CC59C8"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059D258D"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shd w:val="clear" w:color="auto" w:fill="E6E6E6"/>
          </w:tcPr>
          <w:p w14:paraId="78B6482B" w14:textId="77777777" w:rsidR="008973DD" w:rsidRPr="008973DD" w:rsidRDefault="008973DD" w:rsidP="00791098">
            <w:pPr>
              <w:rPr>
                <w:rFonts w:asciiTheme="minorHAnsi" w:hAnsiTheme="minorHAnsi" w:cstheme="minorHAnsi"/>
                <w:color w:val="000000"/>
              </w:rPr>
            </w:pPr>
          </w:p>
          <w:p w14:paraId="03FB916F"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p w14:paraId="650713E2" w14:textId="77777777" w:rsidR="008973DD" w:rsidRPr="008973DD" w:rsidRDefault="008973DD" w:rsidP="00791098">
            <w:pPr>
              <w:rPr>
                <w:rFonts w:asciiTheme="minorHAnsi" w:hAnsiTheme="minorHAnsi" w:cstheme="minorHAnsi"/>
                <w:color w:val="000080"/>
              </w:rPr>
            </w:pPr>
            <w:r w:rsidRPr="008973DD">
              <w:rPr>
                <w:rFonts w:asciiTheme="minorHAnsi" w:hAnsiTheme="minorHAnsi" w:cstheme="minorHAnsi"/>
                <w:color w:val="000080"/>
              </w:rPr>
              <w:t>tickets</w:t>
            </w:r>
          </w:p>
        </w:tc>
        <w:tc>
          <w:tcPr>
            <w:tcW w:w="1080" w:type="dxa"/>
            <w:gridSpan w:val="2"/>
            <w:tcBorders>
              <w:top w:val="single" w:sz="4" w:space="0" w:color="000000"/>
              <w:left w:val="single" w:sz="4" w:space="0" w:color="808080"/>
              <w:bottom w:val="single" w:sz="4" w:space="0" w:color="000000"/>
              <w:right w:val="single" w:sz="4" w:space="0" w:color="808080"/>
            </w:tcBorders>
          </w:tcPr>
          <w:p w14:paraId="5B92A6A8"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tcPr>
          <w:p w14:paraId="241067E7" w14:textId="77777777" w:rsidR="008973DD" w:rsidRPr="008973DD" w:rsidRDefault="008973DD" w:rsidP="00791098">
            <w:pPr>
              <w:rPr>
                <w:rFonts w:asciiTheme="minorHAnsi" w:hAnsiTheme="minorHAnsi" w:cstheme="minorHAnsi"/>
                <w:color w:val="000000"/>
              </w:rPr>
            </w:pPr>
          </w:p>
        </w:tc>
      </w:tr>
      <w:tr w:rsidR="008973DD" w:rsidRPr="002A7044" w14:paraId="40240330"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4C8DE331"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Irrigation Ordinance No. 32 of 1946 and its amendments  </w:t>
            </w:r>
          </w:p>
        </w:tc>
        <w:tc>
          <w:tcPr>
            <w:tcW w:w="1620" w:type="dxa"/>
            <w:tcBorders>
              <w:top w:val="single" w:sz="4" w:space="0" w:color="000000"/>
              <w:left w:val="single" w:sz="4" w:space="0" w:color="808080"/>
              <w:bottom w:val="single" w:sz="4" w:space="0" w:color="000000"/>
              <w:right w:val="single" w:sz="4" w:space="0" w:color="808080"/>
            </w:tcBorders>
          </w:tcPr>
          <w:p w14:paraId="7A51AF74" w14:textId="77777777" w:rsidR="008973DD" w:rsidRPr="008973DD" w:rsidRDefault="008973DD" w:rsidP="00791098">
            <w:pPr>
              <w:rPr>
                <w:rFonts w:asciiTheme="minorHAnsi" w:hAnsiTheme="minorHAnsi" w:cstheme="minorHAnsi"/>
                <w:color w:val="000000"/>
                <w:lang w:bidi="si-LK"/>
              </w:rPr>
            </w:pPr>
          </w:p>
          <w:p w14:paraId="2AC5017C"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 xml:space="preserve">DI </w:t>
            </w:r>
          </w:p>
        </w:tc>
        <w:tc>
          <w:tcPr>
            <w:tcW w:w="1080" w:type="dxa"/>
            <w:tcBorders>
              <w:top w:val="single" w:sz="4" w:space="0" w:color="000000"/>
              <w:left w:val="single" w:sz="4" w:space="0" w:color="808080"/>
              <w:bottom w:val="single" w:sz="4" w:space="0" w:color="000000"/>
              <w:right w:val="single" w:sz="4" w:space="0" w:color="808080"/>
            </w:tcBorders>
          </w:tcPr>
          <w:p w14:paraId="62D6ADC3" w14:textId="77777777" w:rsidR="008973DD" w:rsidRPr="008973DD" w:rsidRDefault="008973DD" w:rsidP="00791098">
            <w:pPr>
              <w:rPr>
                <w:rFonts w:asciiTheme="minorHAnsi" w:hAnsiTheme="minorHAnsi" w:cstheme="minorHAnsi"/>
                <w:color w:val="000000"/>
                <w:lang w:bidi="si-LK"/>
              </w:rPr>
            </w:pPr>
          </w:p>
          <w:p w14:paraId="60D50920"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Irrigation Fines Fund</w:t>
            </w: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67CBF10E"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p w14:paraId="15EB9D86" w14:textId="77777777" w:rsidR="008973DD" w:rsidRPr="008973DD" w:rsidRDefault="008973DD" w:rsidP="00791098">
            <w:pPr>
              <w:jc w:val="center"/>
              <w:rPr>
                <w:rFonts w:asciiTheme="minorHAnsi" w:hAnsiTheme="minorHAnsi" w:cstheme="minorHAnsi"/>
                <w:color w:val="000000"/>
              </w:rPr>
            </w:pPr>
          </w:p>
          <w:p w14:paraId="0B06E5B0" w14:textId="77777777" w:rsidR="008973DD" w:rsidRPr="008973DD" w:rsidRDefault="008973DD" w:rsidP="00791098">
            <w:pPr>
              <w:jc w:val="center"/>
              <w:rPr>
                <w:rFonts w:asciiTheme="minorHAnsi" w:hAnsiTheme="minorHAnsi" w:cstheme="minorHAnsi"/>
                <w:color w:val="000000"/>
              </w:rPr>
            </w:pPr>
          </w:p>
          <w:p w14:paraId="22A659C5" w14:textId="77777777" w:rsidR="008973DD" w:rsidRPr="008973DD" w:rsidRDefault="008973DD" w:rsidP="00791098">
            <w:pPr>
              <w:jc w:val="cente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vAlign w:val="center"/>
          </w:tcPr>
          <w:p w14:paraId="62CEA352"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2C5C68F1"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7032AB75"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62E89366"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80"/>
                <w:lang w:bidi="si-LK"/>
              </w:rPr>
              <w:t>irrigation rate</w:t>
            </w:r>
          </w:p>
        </w:tc>
        <w:tc>
          <w:tcPr>
            <w:tcW w:w="900" w:type="dxa"/>
            <w:gridSpan w:val="2"/>
            <w:tcBorders>
              <w:top w:val="single" w:sz="4" w:space="0" w:color="000000"/>
              <w:left w:val="single" w:sz="4" w:space="0" w:color="808080"/>
              <w:bottom w:val="single" w:sz="4" w:space="0" w:color="000000"/>
              <w:right w:val="single" w:sz="4" w:space="0" w:color="FFFFFF"/>
            </w:tcBorders>
            <w:shd w:val="clear" w:color="auto" w:fill="E0E0E0"/>
          </w:tcPr>
          <w:p w14:paraId="0F6B9F7A" w14:textId="77777777" w:rsidR="008973DD" w:rsidRPr="008973DD" w:rsidRDefault="008973DD" w:rsidP="00791098">
            <w:pPr>
              <w:rPr>
                <w:rFonts w:asciiTheme="minorHAnsi" w:hAnsiTheme="minorHAnsi" w:cstheme="minorHAnsi"/>
                <w:color w:val="000080"/>
              </w:rPr>
            </w:pPr>
            <w:r w:rsidRPr="008973DD">
              <w:rPr>
                <w:rFonts w:asciiTheme="minorHAnsi" w:hAnsiTheme="minorHAnsi" w:cstheme="minorHAnsi"/>
                <w:color w:val="000080"/>
              </w:rPr>
              <w:t xml:space="preserve">  </w:t>
            </w:r>
          </w:p>
          <w:p w14:paraId="2ED1C29E" w14:textId="77777777" w:rsidR="008973DD" w:rsidRPr="008973DD" w:rsidRDefault="008973DD" w:rsidP="00791098">
            <w:pPr>
              <w:rPr>
                <w:rFonts w:asciiTheme="minorHAnsi" w:hAnsiTheme="minorHAnsi" w:cstheme="minorHAnsi"/>
                <w:color w:val="000080"/>
              </w:rPr>
            </w:pPr>
            <w:r w:rsidRPr="008973DD">
              <w:rPr>
                <w:rFonts w:asciiTheme="minorHAnsi" w:hAnsiTheme="minorHAnsi" w:cstheme="minorHAnsi"/>
                <w:color w:val="000080"/>
              </w:rPr>
              <w:t>x</w:t>
            </w:r>
          </w:p>
        </w:tc>
      </w:tr>
      <w:tr w:rsidR="008973DD" w:rsidRPr="002A7044" w14:paraId="67AB7A0D"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409B0F78" w14:textId="77777777" w:rsidR="008973DD" w:rsidRPr="008973DD" w:rsidRDefault="008973DD" w:rsidP="00791098">
            <w:pPr>
              <w:autoSpaceDE w:val="0"/>
              <w:autoSpaceDN w:val="0"/>
              <w:adjustRightInd w:val="0"/>
              <w:ind w:left="72"/>
              <w:rPr>
                <w:rFonts w:asciiTheme="minorHAnsi" w:hAnsiTheme="minorHAnsi" w:cstheme="minorHAnsi"/>
                <w:color w:val="000000"/>
                <w:lang w:bidi="si-LK"/>
              </w:rPr>
            </w:pPr>
            <w:r w:rsidRPr="008973DD">
              <w:rPr>
                <w:rFonts w:asciiTheme="minorHAnsi" w:hAnsiTheme="minorHAnsi" w:cstheme="minorHAnsi"/>
                <w:color w:val="000000"/>
                <w:lang w:bidi="si-LK"/>
              </w:rPr>
              <w:t>Colombo District (Low-lying Areas) Reclamation and Development Board Act No. 15 of 1968 and its amendments</w:t>
            </w:r>
          </w:p>
        </w:tc>
        <w:tc>
          <w:tcPr>
            <w:tcW w:w="1620" w:type="dxa"/>
            <w:tcBorders>
              <w:top w:val="single" w:sz="4" w:space="0" w:color="000000"/>
              <w:left w:val="single" w:sz="4" w:space="0" w:color="808080"/>
              <w:bottom w:val="single" w:sz="4" w:space="0" w:color="000000"/>
              <w:right w:val="single" w:sz="4" w:space="0" w:color="808080"/>
            </w:tcBorders>
          </w:tcPr>
          <w:p w14:paraId="17AD4FEE" w14:textId="77777777" w:rsidR="008973DD" w:rsidRPr="008973DD" w:rsidRDefault="008973DD" w:rsidP="00791098">
            <w:pPr>
              <w:rPr>
                <w:rFonts w:asciiTheme="minorHAnsi" w:hAnsiTheme="minorHAnsi" w:cstheme="minorHAnsi"/>
                <w:color w:val="000000"/>
                <w:lang w:bidi="si-LK"/>
              </w:rPr>
            </w:pPr>
          </w:p>
          <w:p w14:paraId="6EE00F10" w14:textId="77777777" w:rsidR="008973DD" w:rsidRPr="008973DD" w:rsidRDefault="008973DD" w:rsidP="00791098">
            <w:pPr>
              <w:rPr>
                <w:rFonts w:asciiTheme="minorHAnsi" w:hAnsiTheme="minorHAnsi" w:cstheme="minorHAnsi"/>
                <w:bCs/>
                <w:color w:val="000000"/>
              </w:rPr>
            </w:pPr>
            <w:r w:rsidRPr="008973DD">
              <w:rPr>
                <w:rFonts w:asciiTheme="minorHAnsi" w:hAnsiTheme="minorHAnsi" w:cstheme="minorHAnsi"/>
                <w:color w:val="000000"/>
                <w:lang w:bidi="si-LK"/>
              </w:rPr>
              <w:t>SLLR&amp;DB</w:t>
            </w:r>
          </w:p>
        </w:tc>
        <w:tc>
          <w:tcPr>
            <w:tcW w:w="1080" w:type="dxa"/>
            <w:tcBorders>
              <w:top w:val="single" w:sz="4" w:space="0" w:color="000000"/>
              <w:left w:val="single" w:sz="4" w:space="0" w:color="808080"/>
              <w:bottom w:val="single" w:sz="4" w:space="0" w:color="000000"/>
              <w:right w:val="single" w:sz="4" w:space="0" w:color="808080"/>
            </w:tcBorders>
          </w:tcPr>
          <w:p w14:paraId="24AEBC18" w14:textId="77777777" w:rsidR="008973DD" w:rsidRPr="008973DD" w:rsidRDefault="008973DD" w:rsidP="00791098">
            <w:pPr>
              <w:rPr>
                <w:rFonts w:asciiTheme="minorHAnsi" w:hAnsiTheme="minorHAnsi" w:cstheme="minorHAnsi"/>
                <w:color w:val="000000"/>
                <w:lang w:bidi="si-LK"/>
              </w:rPr>
            </w:pPr>
          </w:p>
          <w:p w14:paraId="5E72B21E"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71281B16"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vAlign w:val="center"/>
          </w:tcPr>
          <w:p w14:paraId="2AA4144D"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73ABAACE"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1BC4A310"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61B06AF6"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tcPr>
          <w:p w14:paraId="48044A84" w14:textId="77777777" w:rsidR="008973DD" w:rsidRPr="008973DD" w:rsidRDefault="008973DD" w:rsidP="00791098">
            <w:pPr>
              <w:rPr>
                <w:rFonts w:asciiTheme="minorHAnsi" w:hAnsiTheme="minorHAnsi" w:cstheme="minorHAnsi"/>
                <w:color w:val="000000"/>
              </w:rPr>
            </w:pPr>
          </w:p>
        </w:tc>
      </w:tr>
      <w:tr w:rsidR="008973DD" w:rsidRPr="002A7044" w14:paraId="0E4A5D64"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3876253B"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Flood Protection Ordinance No.4 of 1924 and its amendments  </w:t>
            </w:r>
          </w:p>
        </w:tc>
        <w:tc>
          <w:tcPr>
            <w:tcW w:w="1620" w:type="dxa"/>
            <w:tcBorders>
              <w:top w:val="single" w:sz="4" w:space="0" w:color="000000"/>
              <w:left w:val="single" w:sz="4" w:space="0" w:color="808080"/>
              <w:bottom w:val="single" w:sz="4" w:space="0" w:color="000000"/>
              <w:right w:val="single" w:sz="4" w:space="0" w:color="808080"/>
            </w:tcBorders>
          </w:tcPr>
          <w:p w14:paraId="277F207A" w14:textId="77777777" w:rsidR="008973DD" w:rsidRPr="008973DD" w:rsidRDefault="008973DD" w:rsidP="00791098">
            <w:pPr>
              <w:autoSpaceDE w:val="0"/>
              <w:autoSpaceDN w:val="0"/>
              <w:adjustRightInd w:val="0"/>
              <w:rPr>
                <w:rFonts w:asciiTheme="minorHAnsi" w:hAnsiTheme="minorHAnsi" w:cstheme="minorHAnsi"/>
                <w:color w:val="000000"/>
                <w:lang w:bidi="si-LK"/>
              </w:rPr>
            </w:pPr>
          </w:p>
          <w:p w14:paraId="530DAC34" w14:textId="77777777" w:rsidR="008973DD" w:rsidRPr="008973DD" w:rsidRDefault="008973DD" w:rsidP="00791098">
            <w:pPr>
              <w:autoSpaceDE w:val="0"/>
              <w:autoSpaceDN w:val="0"/>
              <w:adjustRightInd w:val="0"/>
              <w:rPr>
                <w:rFonts w:asciiTheme="minorHAnsi" w:hAnsiTheme="minorHAnsi" w:cstheme="minorHAnsi"/>
                <w:color w:val="000000"/>
                <w:lang w:bidi="si-LK"/>
              </w:rPr>
            </w:pPr>
            <w:r w:rsidRPr="008973DD">
              <w:rPr>
                <w:rFonts w:asciiTheme="minorHAnsi" w:hAnsiTheme="minorHAnsi" w:cstheme="minorHAnsi"/>
                <w:color w:val="000000"/>
                <w:lang w:bidi="si-LK"/>
              </w:rPr>
              <w:t>Irrigation Department</w:t>
            </w:r>
          </w:p>
          <w:p w14:paraId="4E943675" w14:textId="77777777" w:rsidR="008973DD" w:rsidRPr="008973DD" w:rsidRDefault="008973DD" w:rsidP="00791098">
            <w:pPr>
              <w:rPr>
                <w:rFonts w:asciiTheme="minorHAnsi" w:hAnsiTheme="minorHAnsi" w:cstheme="minorHAnsi"/>
                <w:color w:val="000000"/>
              </w:rPr>
            </w:pPr>
          </w:p>
        </w:tc>
        <w:tc>
          <w:tcPr>
            <w:tcW w:w="1080" w:type="dxa"/>
            <w:tcBorders>
              <w:top w:val="single" w:sz="4" w:space="0" w:color="000000"/>
              <w:left w:val="single" w:sz="4" w:space="0" w:color="808080"/>
              <w:bottom w:val="single" w:sz="4" w:space="0" w:color="000000"/>
              <w:right w:val="single" w:sz="4" w:space="0" w:color="808080"/>
            </w:tcBorders>
          </w:tcPr>
          <w:p w14:paraId="26FA121A"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vAlign w:val="center"/>
          </w:tcPr>
          <w:p w14:paraId="629542FD" w14:textId="77777777" w:rsidR="008973DD" w:rsidRPr="008973DD" w:rsidRDefault="008973DD" w:rsidP="00791098">
            <w:pPr>
              <w:jc w:val="cente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vAlign w:val="center"/>
          </w:tcPr>
          <w:p w14:paraId="1337D20F"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5F823D5F"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227960FF"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258AD74D" w14:textId="77777777" w:rsidR="008973DD" w:rsidRPr="008973DD" w:rsidRDefault="008973DD" w:rsidP="00791098">
            <w:pPr>
              <w:rPr>
                <w:rFonts w:asciiTheme="minorHAnsi" w:hAnsiTheme="minorHAnsi" w:cstheme="minorHAnsi"/>
                <w:color w:val="000000"/>
                <w:lang w:bidi="si-LK"/>
              </w:rPr>
            </w:pPr>
          </w:p>
          <w:p w14:paraId="5A727572" w14:textId="77777777" w:rsidR="008973DD" w:rsidRPr="008973DD" w:rsidRDefault="008973DD" w:rsidP="00791098">
            <w:pPr>
              <w:rPr>
                <w:rFonts w:asciiTheme="minorHAnsi" w:hAnsiTheme="minorHAnsi" w:cstheme="minorHAnsi"/>
                <w:color w:val="000080"/>
                <w:lang w:bidi="si-LK"/>
              </w:rPr>
            </w:pPr>
            <w:r w:rsidRPr="008973DD">
              <w:rPr>
                <w:rFonts w:asciiTheme="minorHAnsi" w:hAnsiTheme="minorHAnsi" w:cstheme="minorHAnsi"/>
                <w:color w:val="000080"/>
                <w:lang w:bidi="si-LK"/>
              </w:rPr>
              <w:t>flood rate</w:t>
            </w:r>
          </w:p>
          <w:p w14:paraId="74107366"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80"/>
                <w:lang w:bidi="si-LK"/>
              </w:rPr>
              <w:t>pd to Irrigation Authority</w:t>
            </w:r>
          </w:p>
        </w:tc>
        <w:tc>
          <w:tcPr>
            <w:tcW w:w="900" w:type="dxa"/>
            <w:gridSpan w:val="2"/>
            <w:tcBorders>
              <w:top w:val="single" w:sz="4" w:space="0" w:color="000000"/>
              <w:left w:val="single" w:sz="4" w:space="0" w:color="808080"/>
              <w:bottom w:val="single" w:sz="4" w:space="0" w:color="000000"/>
              <w:right w:val="single" w:sz="4" w:space="0" w:color="FFFFFF"/>
            </w:tcBorders>
            <w:shd w:val="clear" w:color="auto" w:fill="E6E6E6"/>
          </w:tcPr>
          <w:p w14:paraId="3627F9DB" w14:textId="77777777" w:rsidR="008973DD" w:rsidRPr="008973DD" w:rsidRDefault="008973DD" w:rsidP="00791098">
            <w:pPr>
              <w:rPr>
                <w:rFonts w:asciiTheme="minorHAnsi" w:hAnsiTheme="minorHAnsi" w:cstheme="minorHAnsi"/>
                <w:color w:val="000000"/>
                <w:lang w:bidi="si-LK"/>
              </w:rPr>
            </w:pPr>
            <w:r w:rsidRPr="008973DD">
              <w:rPr>
                <w:rFonts w:asciiTheme="minorHAnsi" w:hAnsiTheme="minorHAnsi" w:cstheme="minorHAnsi"/>
                <w:color w:val="000000"/>
                <w:lang w:bidi="si-LK"/>
              </w:rPr>
              <w:t xml:space="preserve"> </w:t>
            </w:r>
          </w:p>
          <w:p w14:paraId="36A90C51"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x</w:t>
            </w:r>
          </w:p>
        </w:tc>
      </w:tr>
      <w:tr w:rsidR="008973DD" w:rsidRPr="002A7044" w14:paraId="4948E073" w14:textId="77777777" w:rsidTr="008973DD">
        <w:trPr>
          <w:trHeight w:val="1226"/>
        </w:trPr>
        <w:tc>
          <w:tcPr>
            <w:tcW w:w="1980" w:type="dxa"/>
            <w:tcBorders>
              <w:top w:val="single" w:sz="4" w:space="0" w:color="000000"/>
              <w:left w:val="single" w:sz="4" w:space="0" w:color="FFFFFF"/>
              <w:bottom w:val="single" w:sz="4" w:space="0" w:color="000000"/>
              <w:right w:val="single" w:sz="4" w:space="0" w:color="808080"/>
            </w:tcBorders>
          </w:tcPr>
          <w:p w14:paraId="55ED7043" w14:textId="77777777" w:rsidR="008973DD" w:rsidRPr="008973DD" w:rsidRDefault="008973DD" w:rsidP="00791098">
            <w:pPr>
              <w:ind w:left="72"/>
              <w:rPr>
                <w:rFonts w:asciiTheme="minorHAnsi" w:hAnsiTheme="minorHAnsi" w:cstheme="minorHAnsi"/>
                <w:color w:val="000000"/>
                <w:lang w:bidi="si-LK"/>
              </w:rPr>
            </w:pPr>
          </w:p>
          <w:p w14:paraId="10F89741"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Mahaweli Authority of Sri Lanka Act No. 23 of 1979 and its amendments  </w:t>
            </w:r>
          </w:p>
        </w:tc>
        <w:tc>
          <w:tcPr>
            <w:tcW w:w="1620" w:type="dxa"/>
            <w:tcBorders>
              <w:top w:val="single" w:sz="4" w:space="0" w:color="000000"/>
              <w:left w:val="single" w:sz="4" w:space="0" w:color="808080"/>
              <w:bottom w:val="single" w:sz="4" w:space="0" w:color="000000"/>
              <w:right w:val="single" w:sz="4" w:space="0" w:color="808080"/>
            </w:tcBorders>
          </w:tcPr>
          <w:p w14:paraId="2BCF5515" w14:textId="77777777" w:rsidR="008973DD" w:rsidRPr="008973DD" w:rsidRDefault="008973DD" w:rsidP="00791098">
            <w:pPr>
              <w:rPr>
                <w:rFonts w:asciiTheme="minorHAnsi" w:hAnsiTheme="minorHAnsi" w:cstheme="minorHAnsi"/>
                <w:color w:val="000000"/>
                <w:lang w:bidi="si-LK"/>
              </w:rPr>
            </w:pPr>
          </w:p>
          <w:p w14:paraId="4BFFD082"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 xml:space="preserve">MASL </w:t>
            </w:r>
          </w:p>
        </w:tc>
        <w:tc>
          <w:tcPr>
            <w:tcW w:w="1080" w:type="dxa"/>
            <w:tcBorders>
              <w:top w:val="single" w:sz="4" w:space="0" w:color="000000"/>
              <w:left w:val="single" w:sz="4" w:space="0" w:color="808080"/>
              <w:bottom w:val="single" w:sz="4" w:space="0" w:color="000000"/>
              <w:right w:val="single" w:sz="4" w:space="0" w:color="808080"/>
            </w:tcBorders>
          </w:tcPr>
          <w:p w14:paraId="2FEEE8D0" w14:textId="77777777" w:rsidR="008973DD" w:rsidRPr="008973DD" w:rsidRDefault="008973DD" w:rsidP="00791098">
            <w:pPr>
              <w:rPr>
                <w:rFonts w:asciiTheme="minorHAnsi" w:hAnsiTheme="minorHAnsi" w:cstheme="minorHAnsi"/>
                <w:color w:val="000000"/>
              </w:rPr>
            </w:pPr>
          </w:p>
          <w:p w14:paraId="7B664861"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MASL fund</w:t>
            </w:r>
          </w:p>
          <w:p w14:paraId="1DF3A2C2"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vAlign w:val="center"/>
          </w:tcPr>
          <w:p w14:paraId="26B7A726"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72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6E9418E5"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x </w:t>
            </w:r>
          </w:p>
          <w:p w14:paraId="428BFCF5" w14:textId="77777777" w:rsidR="008973DD" w:rsidRPr="008973DD" w:rsidRDefault="008973DD" w:rsidP="00791098">
            <w:pPr>
              <w:rPr>
                <w:rFonts w:asciiTheme="minorHAnsi" w:hAnsiTheme="minorHAnsi" w:cstheme="minorHAnsi"/>
                <w:color w:val="000080"/>
              </w:rPr>
            </w:pPr>
          </w:p>
          <w:p w14:paraId="0F740EE9" w14:textId="77777777" w:rsidR="008973DD" w:rsidRPr="008973DD" w:rsidRDefault="008973DD" w:rsidP="00791098">
            <w:pPr>
              <w:rPr>
                <w:rFonts w:asciiTheme="minorHAnsi" w:hAnsiTheme="minorHAnsi" w:cstheme="minorHAnsi"/>
                <w:color w:val="000080"/>
              </w:rPr>
            </w:pPr>
            <w:r w:rsidRPr="008973DD">
              <w:rPr>
                <w:rFonts w:asciiTheme="minorHAnsi" w:hAnsiTheme="minorHAnsi" w:cstheme="minorHAnsi"/>
                <w:color w:val="000080"/>
              </w:rPr>
              <w:t xml:space="preserve">For services </w:t>
            </w:r>
          </w:p>
        </w:tc>
        <w:tc>
          <w:tcPr>
            <w:tcW w:w="900" w:type="dxa"/>
            <w:tcBorders>
              <w:top w:val="single" w:sz="4" w:space="0" w:color="000000"/>
              <w:left w:val="single" w:sz="4" w:space="0" w:color="808080"/>
              <w:bottom w:val="single" w:sz="4" w:space="0" w:color="000000"/>
              <w:right w:val="single" w:sz="4" w:space="0" w:color="808080"/>
            </w:tcBorders>
            <w:shd w:val="clear" w:color="auto" w:fill="E0E0E0"/>
          </w:tcPr>
          <w:p w14:paraId="726CB431" w14:textId="77777777" w:rsidR="008973DD" w:rsidRPr="008973DD" w:rsidRDefault="008973DD" w:rsidP="00791098">
            <w:pPr>
              <w:rPr>
                <w:rFonts w:asciiTheme="minorHAnsi" w:hAnsiTheme="minorHAnsi" w:cstheme="minorHAnsi"/>
                <w:color w:val="000000"/>
                <w:lang w:bidi="si-LK"/>
              </w:rPr>
            </w:pPr>
          </w:p>
          <w:p w14:paraId="4F49BACE" w14:textId="77777777" w:rsidR="008973DD" w:rsidRPr="008973DD" w:rsidRDefault="008973DD" w:rsidP="00791098">
            <w:pPr>
              <w:rPr>
                <w:rFonts w:asciiTheme="minorHAnsi" w:hAnsiTheme="minorHAnsi" w:cstheme="minorHAnsi"/>
                <w:color w:val="000000"/>
                <w:lang w:bidi="si-LK"/>
              </w:rPr>
            </w:pPr>
            <w:r w:rsidRPr="008973DD">
              <w:rPr>
                <w:rFonts w:asciiTheme="minorHAnsi" w:hAnsiTheme="minorHAnsi" w:cstheme="minorHAnsi"/>
                <w:color w:val="000000"/>
                <w:lang w:bidi="si-LK"/>
              </w:rPr>
              <w:t>x</w:t>
            </w:r>
          </w:p>
          <w:p w14:paraId="5A90462E" w14:textId="77777777" w:rsidR="008973DD" w:rsidRPr="008973DD" w:rsidRDefault="008973DD" w:rsidP="00791098">
            <w:pPr>
              <w:rPr>
                <w:rFonts w:asciiTheme="minorHAnsi" w:hAnsiTheme="minorHAnsi" w:cstheme="minorHAnsi"/>
                <w:color w:val="000080"/>
              </w:rPr>
            </w:pPr>
            <w:r w:rsidRPr="008973DD">
              <w:rPr>
                <w:rFonts w:asciiTheme="minorHAnsi" w:hAnsiTheme="minorHAnsi" w:cstheme="minorHAnsi"/>
                <w:color w:val="000080"/>
                <w:lang w:bidi="si-LK"/>
              </w:rPr>
              <w:t>On farm and other produce</w:t>
            </w:r>
          </w:p>
        </w:tc>
        <w:tc>
          <w:tcPr>
            <w:tcW w:w="900" w:type="dxa"/>
            <w:gridSpan w:val="2"/>
            <w:tcBorders>
              <w:top w:val="single" w:sz="4" w:space="0" w:color="000000"/>
              <w:left w:val="single" w:sz="4" w:space="0" w:color="808080"/>
              <w:bottom w:val="single" w:sz="4" w:space="0" w:color="000000"/>
              <w:right w:val="single" w:sz="4" w:space="0" w:color="808080"/>
            </w:tcBorders>
          </w:tcPr>
          <w:p w14:paraId="6BE12847"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37D31644"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shd w:val="clear" w:color="auto" w:fill="E0E0E0"/>
          </w:tcPr>
          <w:p w14:paraId="380A0CE4" w14:textId="77777777" w:rsidR="008973DD" w:rsidRPr="008973DD" w:rsidRDefault="008973DD" w:rsidP="00791098">
            <w:pPr>
              <w:rPr>
                <w:rFonts w:asciiTheme="minorHAnsi" w:hAnsiTheme="minorHAnsi" w:cstheme="minorHAnsi"/>
                <w:color w:val="000000"/>
                <w:lang w:bidi="si-LK"/>
              </w:rPr>
            </w:pPr>
          </w:p>
          <w:p w14:paraId="749D46AA" w14:textId="77777777" w:rsidR="008973DD" w:rsidRPr="008973DD" w:rsidRDefault="008973DD" w:rsidP="00791098">
            <w:pPr>
              <w:rPr>
                <w:rFonts w:asciiTheme="minorHAnsi" w:hAnsiTheme="minorHAnsi" w:cstheme="minorHAnsi"/>
                <w:color w:val="000000"/>
                <w:lang w:bidi="si-LK"/>
              </w:rPr>
            </w:pPr>
            <w:r w:rsidRPr="008973DD">
              <w:rPr>
                <w:rFonts w:asciiTheme="minorHAnsi" w:hAnsiTheme="minorHAnsi" w:cstheme="minorHAnsi"/>
                <w:color w:val="000000"/>
                <w:lang w:bidi="si-LK"/>
              </w:rPr>
              <w:t>x</w:t>
            </w:r>
          </w:p>
          <w:p w14:paraId="50ACDEAB" w14:textId="77777777" w:rsidR="008973DD" w:rsidRPr="008973DD" w:rsidRDefault="008973DD" w:rsidP="00791098">
            <w:pPr>
              <w:rPr>
                <w:rFonts w:asciiTheme="minorHAnsi" w:hAnsiTheme="minorHAnsi" w:cstheme="minorHAnsi"/>
                <w:color w:val="000080"/>
                <w:lang w:bidi="si-LK"/>
              </w:rPr>
            </w:pPr>
          </w:p>
          <w:p w14:paraId="12E72A27" w14:textId="77777777" w:rsidR="008973DD" w:rsidRPr="008973DD" w:rsidRDefault="008973DD" w:rsidP="00791098">
            <w:pPr>
              <w:rPr>
                <w:rFonts w:asciiTheme="minorHAnsi" w:hAnsiTheme="minorHAnsi" w:cstheme="minorHAnsi"/>
                <w:color w:val="000080"/>
              </w:rPr>
            </w:pPr>
            <w:r w:rsidRPr="008973DD">
              <w:rPr>
                <w:rFonts w:asciiTheme="minorHAnsi" w:hAnsiTheme="minorHAnsi" w:cstheme="minorHAnsi"/>
                <w:color w:val="000080"/>
                <w:lang w:bidi="si-LK"/>
              </w:rPr>
              <w:t xml:space="preserve">Levy or fee </w:t>
            </w:r>
            <w:proofErr w:type="gramStart"/>
            <w:r w:rsidRPr="008973DD">
              <w:rPr>
                <w:rFonts w:asciiTheme="minorHAnsi" w:hAnsiTheme="minorHAnsi" w:cstheme="minorHAnsi"/>
                <w:color w:val="000080"/>
                <w:lang w:bidi="si-LK"/>
              </w:rPr>
              <w:t>for  water</w:t>
            </w:r>
            <w:proofErr w:type="gramEnd"/>
          </w:p>
        </w:tc>
      </w:tr>
      <w:tr w:rsidR="008973DD" w:rsidRPr="002A7044" w14:paraId="68839EF2"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0BD78428" w14:textId="77777777" w:rsidR="008973DD" w:rsidRPr="008973DD" w:rsidRDefault="008973DD" w:rsidP="00791098">
            <w:pPr>
              <w:ind w:left="72"/>
              <w:rPr>
                <w:rFonts w:asciiTheme="minorHAnsi" w:hAnsiTheme="minorHAnsi" w:cstheme="minorHAnsi"/>
                <w:color w:val="000000"/>
                <w:lang w:bidi="si-LK"/>
              </w:rPr>
            </w:pPr>
          </w:p>
          <w:p w14:paraId="65F5A6FB"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Mines and Minerals Act No. 33 of 1992 and its amendments </w:t>
            </w:r>
          </w:p>
        </w:tc>
        <w:tc>
          <w:tcPr>
            <w:tcW w:w="1620" w:type="dxa"/>
            <w:tcBorders>
              <w:top w:val="single" w:sz="4" w:space="0" w:color="000000"/>
              <w:left w:val="single" w:sz="4" w:space="0" w:color="808080"/>
              <w:bottom w:val="single" w:sz="4" w:space="0" w:color="000000"/>
              <w:right w:val="single" w:sz="4" w:space="0" w:color="808080"/>
            </w:tcBorders>
          </w:tcPr>
          <w:p w14:paraId="1C13CAB8" w14:textId="77777777" w:rsidR="008973DD" w:rsidRPr="008973DD" w:rsidRDefault="008973DD" w:rsidP="00791098">
            <w:pPr>
              <w:rPr>
                <w:rFonts w:asciiTheme="minorHAnsi" w:hAnsiTheme="minorHAnsi" w:cstheme="minorHAnsi"/>
                <w:color w:val="000000"/>
                <w:lang w:bidi="si-LK"/>
              </w:rPr>
            </w:pPr>
          </w:p>
          <w:p w14:paraId="3E54BF06" w14:textId="77777777" w:rsidR="008973DD" w:rsidRPr="008973DD" w:rsidRDefault="008973DD" w:rsidP="00791098">
            <w:pPr>
              <w:rPr>
                <w:rFonts w:asciiTheme="minorHAnsi" w:hAnsiTheme="minorHAnsi" w:cstheme="minorHAnsi"/>
                <w:color w:val="000000"/>
                <w:lang w:bidi="si-LK"/>
              </w:rPr>
            </w:pPr>
            <w:r w:rsidRPr="008973DD">
              <w:rPr>
                <w:rFonts w:asciiTheme="minorHAnsi" w:hAnsiTheme="minorHAnsi" w:cstheme="minorHAnsi"/>
                <w:color w:val="000000"/>
                <w:lang w:bidi="si-LK"/>
              </w:rPr>
              <w:t xml:space="preserve">GSMB </w:t>
            </w:r>
          </w:p>
          <w:p w14:paraId="54311C46" w14:textId="77777777" w:rsidR="008973DD" w:rsidRPr="008973DD" w:rsidRDefault="008973DD" w:rsidP="00791098">
            <w:pPr>
              <w:rPr>
                <w:rFonts w:asciiTheme="minorHAnsi" w:hAnsiTheme="minorHAnsi" w:cstheme="minorHAnsi"/>
                <w:color w:val="000000"/>
                <w:lang w:bidi="si-LK"/>
              </w:rPr>
            </w:pPr>
          </w:p>
          <w:p w14:paraId="7B169420" w14:textId="77777777" w:rsidR="008973DD" w:rsidRPr="008973DD" w:rsidRDefault="008973DD" w:rsidP="00791098">
            <w:pPr>
              <w:rPr>
                <w:rFonts w:asciiTheme="minorHAnsi" w:hAnsiTheme="minorHAnsi" w:cstheme="minorHAnsi"/>
                <w:color w:val="000000"/>
              </w:rPr>
            </w:pPr>
          </w:p>
        </w:tc>
        <w:tc>
          <w:tcPr>
            <w:tcW w:w="1080" w:type="dxa"/>
            <w:tcBorders>
              <w:top w:val="single" w:sz="4" w:space="0" w:color="000000"/>
              <w:left w:val="single" w:sz="4" w:space="0" w:color="808080"/>
              <w:bottom w:val="single" w:sz="4" w:space="0" w:color="000000"/>
              <w:right w:val="single" w:sz="4" w:space="0" w:color="808080"/>
            </w:tcBorders>
          </w:tcPr>
          <w:p w14:paraId="2C3D82A4" w14:textId="77777777" w:rsidR="008973DD" w:rsidRPr="008973DD" w:rsidRDefault="008973DD" w:rsidP="00791098">
            <w:pPr>
              <w:rPr>
                <w:rFonts w:asciiTheme="minorHAnsi" w:hAnsiTheme="minorHAnsi" w:cstheme="minorHAnsi"/>
                <w:color w:val="000000"/>
              </w:rPr>
            </w:pPr>
          </w:p>
          <w:p w14:paraId="4EC9A086"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GSMB Fund/</w:t>
            </w:r>
          </w:p>
          <w:p w14:paraId="28201171"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GSMB royalty ac.</w:t>
            </w:r>
          </w:p>
        </w:tc>
        <w:tc>
          <w:tcPr>
            <w:tcW w:w="900" w:type="dxa"/>
            <w:tcBorders>
              <w:top w:val="single" w:sz="4" w:space="0" w:color="000000"/>
              <w:left w:val="single" w:sz="4" w:space="0" w:color="808080"/>
              <w:bottom w:val="single" w:sz="4" w:space="0" w:color="000000"/>
              <w:right w:val="single" w:sz="4" w:space="0" w:color="808080"/>
            </w:tcBorders>
            <w:vAlign w:val="center"/>
          </w:tcPr>
          <w:p w14:paraId="7149F0F1" w14:textId="77777777" w:rsidR="008973DD" w:rsidRPr="008973DD" w:rsidRDefault="008973DD" w:rsidP="00791098">
            <w:pPr>
              <w:jc w:val="cente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vAlign w:val="center"/>
          </w:tcPr>
          <w:p w14:paraId="3CAD4609"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5E64A41B"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shd w:val="clear" w:color="auto" w:fill="E0E0E0"/>
          </w:tcPr>
          <w:p w14:paraId="55F87BAB" w14:textId="77777777" w:rsidR="008973DD" w:rsidRPr="008973DD" w:rsidRDefault="008973DD" w:rsidP="00791098">
            <w:pPr>
              <w:rPr>
                <w:rFonts w:asciiTheme="minorHAnsi" w:hAnsiTheme="minorHAnsi" w:cstheme="minorHAnsi"/>
                <w:color w:val="000000"/>
              </w:rPr>
            </w:pPr>
          </w:p>
          <w:p w14:paraId="38AD437C"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p w14:paraId="6A02C941"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80"/>
                <w:lang w:bidi="si-LK"/>
              </w:rPr>
              <w:t>Royalty</w:t>
            </w:r>
          </w:p>
        </w:tc>
        <w:tc>
          <w:tcPr>
            <w:tcW w:w="1080" w:type="dxa"/>
            <w:gridSpan w:val="2"/>
            <w:tcBorders>
              <w:top w:val="single" w:sz="4" w:space="0" w:color="000000"/>
              <w:left w:val="single" w:sz="4" w:space="0" w:color="808080"/>
              <w:bottom w:val="single" w:sz="4" w:space="0" w:color="000000"/>
              <w:right w:val="single" w:sz="4" w:space="0" w:color="808080"/>
            </w:tcBorders>
            <w:shd w:val="clear" w:color="auto" w:fill="E0E0E0"/>
          </w:tcPr>
          <w:p w14:paraId="07EFC152" w14:textId="77777777" w:rsidR="008973DD" w:rsidRPr="008973DD" w:rsidRDefault="008973DD" w:rsidP="00791098">
            <w:pPr>
              <w:rPr>
                <w:rFonts w:asciiTheme="minorHAnsi" w:hAnsiTheme="minorHAnsi" w:cstheme="minorHAnsi"/>
                <w:color w:val="000000"/>
              </w:rPr>
            </w:pPr>
          </w:p>
          <w:p w14:paraId="13D82030"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x</w:t>
            </w:r>
          </w:p>
          <w:p w14:paraId="65578A28"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80"/>
                <w:lang w:bidi="si-LK"/>
              </w:rPr>
              <w:t>Calls for mitigation</w:t>
            </w:r>
          </w:p>
        </w:tc>
        <w:tc>
          <w:tcPr>
            <w:tcW w:w="900" w:type="dxa"/>
            <w:gridSpan w:val="2"/>
            <w:tcBorders>
              <w:top w:val="single" w:sz="4" w:space="0" w:color="000000"/>
              <w:left w:val="single" w:sz="4" w:space="0" w:color="808080"/>
              <w:bottom w:val="single" w:sz="4" w:space="0" w:color="000000"/>
              <w:right w:val="single" w:sz="4" w:space="0" w:color="FFFFFF"/>
            </w:tcBorders>
          </w:tcPr>
          <w:p w14:paraId="6A5C0DA0" w14:textId="77777777" w:rsidR="008973DD" w:rsidRPr="008973DD" w:rsidRDefault="008973DD" w:rsidP="00791098">
            <w:pPr>
              <w:rPr>
                <w:rFonts w:asciiTheme="minorHAnsi" w:hAnsiTheme="minorHAnsi" w:cstheme="minorHAnsi"/>
                <w:color w:val="000000"/>
              </w:rPr>
            </w:pPr>
          </w:p>
        </w:tc>
      </w:tr>
      <w:tr w:rsidR="008973DD" w:rsidRPr="002A7044" w14:paraId="7A1386D6"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1C75925E" w14:textId="77777777" w:rsidR="008973DD" w:rsidRPr="008973DD" w:rsidRDefault="008973DD" w:rsidP="00791098">
            <w:pPr>
              <w:ind w:left="72"/>
              <w:rPr>
                <w:rFonts w:asciiTheme="minorHAnsi" w:hAnsiTheme="minorHAnsi" w:cstheme="minorHAnsi"/>
                <w:color w:val="000000"/>
                <w:lang w:bidi="si-LK"/>
              </w:rPr>
            </w:pPr>
          </w:p>
          <w:p w14:paraId="657CDB91"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The Ceylon Tourist Board Act, no. 10 of and its amendments </w:t>
            </w:r>
          </w:p>
        </w:tc>
        <w:tc>
          <w:tcPr>
            <w:tcW w:w="1620" w:type="dxa"/>
            <w:tcBorders>
              <w:top w:val="single" w:sz="4" w:space="0" w:color="000000"/>
              <w:left w:val="single" w:sz="4" w:space="0" w:color="808080"/>
              <w:bottom w:val="single" w:sz="4" w:space="0" w:color="000000"/>
              <w:right w:val="single" w:sz="4" w:space="0" w:color="808080"/>
            </w:tcBorders>
          </w:tcPr>
          <w:p w14:paraId="02002518" w14:textId="77777777" w:rsidR="008973DD" w:rsidRPr="008973DD" w:rsidRDefault="008973DD" w:rsidP="00791098">
            <w:pPr>
              <w:rPr>
                <w:rFonts w:asciiTheme="minorHAnsi" w:hAnsiTheme="minorHAnsi" w:cstheme="minorHAnsi"/>
                <w:color w:val="000000"/>
                <w:lang w:bidi="si-LK"/>
              </w:rPr>
            </w:pPr>
          </w:p>
          <w:p w14:paraId="5A9BADE8"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 xml:space="preserve">SLTDA </w:t>
            </w:r>
          </w:p>
        </w:tc>
        <w:tc>
          <w:tcPr>
            <w:tcW w:w="1080" w:type="dxa"/>
            <w:tcBorders>
              <w:top w:val="single" w:sz="4" w:space="0" w:color="000000"/>
              <w:left w:val="single" w:sz="4" w:space="0" w:color="808080"/>
              <w:bottom w:val="single" w:sz="4" w:space="0" w:color="000000"/>
              <w:right w:val="single" w:sz="4" w:space="0" w:color="808080"/>
            </w:tcBorders>
          </w:tcPr>
          <w:p w14:paraId="216B9339"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vAlign w:val="center"/>
          </w:tcPr>
          <w:p w14:paraId="36FBB871" w14:textId="77777777" w:rsidR="008973DD" w:rsidRPr="008973DD" w:rsidRDefault="008973DD" w:rsidP="00791098">
            <w:pPr>
              <w:jc w:val="cente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vAlign w:val="center"/>
          </w:tcPr>
          <w:p w14:paraId="71DF8C82"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281E3FAE"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2B7DB1C8"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101A08A5"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shd w:val="clear" w:color="auto" w:fill="E0E0E0"/>
          </w:tcPr>
          <w:p w14:paraId="51CA6441" w14:textId="77777777" w:rsidR="008973DD" w:rsidRPr="008973DD" w:rsidRDefault="008973DD" w:rsidP="00791098">
            <w:pPr>
              <w:rPr>
                <w:rFonts w:asciiTheme="minorHAnsi" w:hAnsiTheme="minorHAnsi" w:cstheme="minorHAnsi"/>
                <w:color w:val="000000"/>
              </w:rPr>
            </w:pPr>
          </w:p>
          <w:p w14:paraId="5C74E1EF" w14:textId="77777777" w:rsidR="008973DD" w:rsidRPr="008973DD" w:rsidRDefault="008973DD" w:rsidP="00791098">
            <w:pPr>
              <w:rPr>
                <w:rFonts w:asciiTheme="minorHAnsi" w:hAnsiTheme="minorHAnsi" w:cstheme="minorHAnsi"/>
                <w:color w:val="000000"/>
                <w:lang w:bidi="si-LK"/>
              </w:rPr>
            </w:pPr>
            <w:r w:rsidRPr="008973DD">
              <w:rPr>
                <w:rFonts w:asciiTheme="minorHAnsi" w:hAnsiTheme="minorHAnsi" w:cstheme="minorHAnsi"/>
                <w:color w:val="000000"/>
                <w:lang w:bidi="si-LK"/>
              </w:rPr>
              <w:t>x</w:t>
            </w:r>
          </w:p>
          <w:p w14:paraId="0B0C833E"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80"/>
                <w:lang w:bidi="si-LK"/>
              </w:rPr>
              <w:t>Levy or fee</w:t>
            </w:r>
          </w:p>
        </w:tc>
      </w:tr>
      <w:tr w:rsidR="008973DD" w:rsidRPr="002A7044" w14:paraId="0B4ADBD2" w14:textId="77777777" w:rsidTr="008973DD">
        <w:tc>
          <w:tcPr>
            <w:tcW w:w="1980" w:type="dxa"/>
            <w:tcBorders>
              <w:top w:val="single" w:sz="4" w:space="0" w:color="000000"/>
              <w:left w:val="single" w:sz="4" w:space="0" w:color="FFFFFF"/>
              <w:bottom w:val="single" w:sz="4" w:space="0" w:color="000000"/>
              <w:right w:val="single" w:sz="4" w:space="0" w:color="808080"/>
            </w:tcBorders>
          </w:tcPr>
          <w:p w14:paraId="5A28AB1D" w14:textId="77777777" w:rsidR="008973DD" w:rsidRPr="008973DD" w:rsidRDefault="008973DD" w:rsidP="00791098">
            <w:pPr>
              <w:ind w:left="72"/>
              <w:rPr>
                <w:rFonts w:asciiTheme="minorHAnsi" w:hAnsiTheme="minorHAnsi" w:cstheme="minorHAnsi"/>
                <w:color w:val="000000"/>
                <w:lang w:bidi="si-LK"/>
              </w:rPr>
            </w:pPr>
          </w:p>
          <w:p w14:paraId="65395C9D"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Antiquities Ordinance No 9 of 1940 and its amendments</w:t>
            </w:r>
          </w:p>
        </w:tc>
        <w:tc>
          <w:tcPr>
            <w:tcW w:w="1620" w:type="dxa"/>
            <w:tcBorders>
              <w:top w:val="single" w:sz="4" w:space="0" w:color="000000"/>
              <w:left w:val="single" w:sz="4" w:space="0" w:color="808080"/>
              <w:bottom w:val="single" w:sz="4" w:space="0" w:color="000000"/>
              <w:right w:val="single" w:sz="4" w:space="0" w:color="808080"/>
            </w:tcBorders>
          </w:tcPr>
          <w:p w14:paraId="64A2CE25" w14:textId="77777777" w:rsidR="008973DD" w:rsidRPr="008973DD" w:rsidRDefault="008973DD" w:rsidP="00791098">
            <w:pPr>
              <w:rPr>
                <w:rFonts w:asciiTheme="minorHAnsi" w:hAnsiTheme="minorHAnsi" w:cstheme="minorHAnsi"/>
                <w:color w:val="000000"/>
                <w:lang w:bidi="si-LK"/>
              </w:rPr>
            </w:pPr>
          </w:p>
          <w:p w14:paraId="54CB5CD9" w14:textId="77777777" w:rsidR="008973DD" w:rsidRPr="008973DD" w:rsidRDefault="008973DD" w:rsidP="00791098">
            <w:pPr>
              <w:rPr>
                <w:rFonts w:asciiTheme="minorHAnsi" w:hAnsiTheme="minorHAnsi" w:cstheme="minorHAnsi"/>
                <w:color w:val="000000"/>
              </w:rPr>
            </w:pPr>
            <w:proofErr w:type="spellStart"/>
            <w:r w:rsidRPr="008973DD">
              <w:rPr>
                <w:rFonts w:asciiTheme="minorHAnsi" w:hAnsiTheme="minorHAnsi" w:cstheme="minorHAnsi"/>
                <w:color w:val="000000"/>
                <w:lang w:bidi="si-LK"/>
              </w:rPr>
              <w:t>DoArch</w:t>
            </w:r>
            <w:proofErr w:type="spellEnd"/>
          </w:p>
        </w:tc>
        <w:tc>
          <w:tcPr>
            <w:tcW w:w="1080" w:type="dxa"/>
            <w:tcBorders>
              <w:top w:val="single" w:sz="4" w:space="0" w:color="000000"/>
              <w:left w:val="single" w:sz="4" w:space="0" w:color="808080"/>
              <w:bottom w:val="single" w:sz="4" w:space="0" w:color="000000"/>
              <w:right w:val="single" w:sz="4" w:space="0" w:color="808080"/>
            </w:tcBorders>
          </w:tcPr>
          <w:p w14:paraId="18B5D0E5"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121B8F6D"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 xml:space="preserve">x </w:t>
            </w:r>
          </w:p>
          <w:p w14:paraId="4659FED8" w14:textId="77777777" w:rsidR="008973DD" w:rsidRPr="008973DD" w:rsidRDefault="008973DD" w:rsidP="00791098">
            <w:pPr>
              <w:jc w:val="center"/>
              <w:rPr>
                <w:rFonts w:asciiTheme="minorHAnsi" w:hAnsiTheme="minorHAnsi" w:cstheme="minorHAnsi"/>
                <w:color w:val="003366"/>
              </w:rPr>
            </w:pPr>
            <w:r w:rsidRPr="008973DD">
              <w:rPr>
                <w:rFonts w:asciiTheme="minorHAnsi" w:hAnsiTheme="minorHAnsi" w:cstheme="minorHAnsi"/>
                <w:color w:val="003366"/>
              </w:rPr>
              <w:t>(low)</w:t>
            </w:r>
          </w:p>
        </w:tc>
        <w:tc>
          <w:tcPr>
            <w:tcW w:w="720" w:type="dxa"/>
            <w:tcBorders>
              <w:top w:val="single" w:sz="4" w:space="0" w:color="000000"/>
              <w:left w:val="single" w:sz="4" w:space="0" w:color="808080"/>
              <w:bottom w:val="single" w:sz="4" w:space="0" w:color="000000"/>
              <w:right w:val="single" w:sz="4" w:space="0" w:color="808080"/>
            </w:tcBorders>
            <w:vAlign w:val="center"/>
          </w:tcPr>
          <w:p w14:paraId="059291CB" w14:textId="77777777" w:rsidR="008973DD" w:rsidRPr="008973DD" w:rsidRDefault="008973DD" w:rsidP="00791098">
            <w:pPr>
              <w:rPr>
                <w:rFonts w:asciiTheme="minorHAnsi" w:hAnsiTheme="minorHAnsi" w:cstheme="minorHAnsi"/>
                <w:color w:val="000000"/>
              </w:rPr>
            </w:pPr>
          </w:p>
        </w:tc>
        <w:tc>
          <w:tcPr>
            <w:tcW w:w="900" w:type="dxa"/>
            <w:tcBorders>
              <w:top w:val="single" w:sz="4" w:space="0" w:color="000000"/>
              <w:left w:val="single" w:sz="4" w:space="0" w:color="808080"/>
              <w:bottom w:val="single" w:sz="4" w:space="0" w:color="000000"/>
              <w:right w:val="single" w:sz="4" w:space="0" w:color="808080"/>
            </w:tcBorders>
          </w:tcPr>
          <w:p w14:paraId="62EFCCBF"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248E977A" w14:textId="77777777" w:rsidR="008973DD" w:rsidRPr="008973DD" w:rsidRDefault="008973DD" w:rsidP="00791098">
            <w:pPr>
              <w:rPr>
                <w:rFonts w:asciiTheme="minorHAnsi" w:hAnsiTheme="minorHAnsi" w:cstheme="minorHAnsi"/>
                <w:color w:val="000000"/>
              </w:rPr>
            </w:pPr>
          </w:p>
        </w:tc>
        <w:tc>
          <w:tcPr>
            <w:tcW w:w="1080" w:type="dxa"/>
            <w:gridSpan w:val="2"/>
            <w:tcBorders>
              <w:top w:val="single" w:sz="4" w:space="0" w:color="000000"/>
              <w:left w:val="single" w:sz="4" w:space="0" w:color="808080"/>
              <w:bottom w:val="single" w:sz="4" w:space="0" w:color="000000"/>
              <w:right w:val="single" w:sz="4" w:space="0" w:color="808080"/>
            </w:tcBorders>
          </w:tcPr>
          <w:p w14:paraId="0D55DFDE"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FFFFFF"/>
            </w:tcBorders>
          </w:tcPr>
          <w:p w14:paraId="3279F222" w14:textId="77777777" w:rsidR="008973DD" w:rsidRPr="008973DD" w:rsidRDefault="008973DD" w:rsidP="00791098">
            <w:pPr>
              <w:rPr>
                <w:rFonts w:asciiTheme="minorHAnsi" w:hAnsiTheme="minorHAnsi" w:cstheme="minorHAnsi"/>
                <w:color w:val="000000"/>
              </w:rPr>
            </w:pPr>
          </w:p>
        </w:tc>
      </w:tr>
      <w:tr w:rsidR="008973DD" w:rsidRPr="002A7044" w14:paraId="34211A41" w14:textId="77777777" w:rsidTr="008973DD">
        <w:trPr>
          <w:trHeight w:val="794"/>
        </w:trPr>
        <w:tc>
          <w:tcPr>
            <w:tcW w:w="1980" w:type="dxa"/>
            <w:tcBorders>
              <w:top w:val="single" w:sz="4" w:space="0" w:color="000000"/>
              <w:left w:val="single" w:sz="4" w:space="0" w:color="FFFFFF"/>
              <w:bottom w:val="single" w:sz="4" w:space="0" w:color="000000"/>
              <w:right w:val="single" w:sz="4" w:space="0" w:color="808080"/>
            </w:tcBorders>
          </w:tcPr>
          <w:p w14:paraId="51DFB61E"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Sri Lanka Disaster Management Act No. 13 of 2005 </w:t>
            </w:r>
          </w:p>
        </w:tc>
        <w:tc>
          <w:tcPr>
            <w:tcW w:w="1620" w:type="dxa"/>
            <w:tcBorders>
              <w:top w:val="single" w:sz="4" w:space="0" w:color="000000"/>
              <w:left w:val="single" w:sz="4" w:space="0" w:color="808080"/>
              <w:bottom w:val="single" w:sz="4" w:space="0" w:color="000000"/>
              <w:right w:val="single" w:sz="4" w:space="0" w:color="808080"/>
            </w:tcBorders>
          </w:tcPr>
          <w:p w14:paraId="0E5A8AE6" w14:textId="77777777" w:rsidR="008973DD" w:rsidRPr="008973DD" w:rsidRDefault="008973DD" w:rsidP="00791098">
            <w:pPr>
              <w:rPr>
                <w:rFonts w:asciiTheme="minorHAnsi" w:hAnsiTheme="minorHAnsi" w:cstheme="minorHAnsi"/>
                <w:color w:val="000000"/>
                <w:lang w:bidi="si-LK"/>
              </w:rPr>
            </w:pPr>
          </w:p>
          <w:p w14:paraId="428F3F8B"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DMC</w:t>
            </w:r>
          </w:p>
        </w:tc>
        <w:tc>
          <w:tcPr>
            <w:tcW w:w="1080" w:type="dxa"/>
            <w:tcBorders>
              <w:top w:val="single" w:sz="4" w:space="0" w:color="000000"/>
              <w:left w:val="single" w:sz="4" w:space="0" w:color="808080"/>
              <w:bottom w:val="single" w:sz="4" w:space="0" w:color="000000"/>
              <w:right w:val="single" w:sz="4" w:space="0" w:color="808080"/>
            </w:tcBorders>
          </w:tcPr>
          <w:p w14:paraId="0C8594DC" w14:textId="77777777" w:rsidR="008973DD" w:rsidRPr="008973DD" w:rsidRDefault="008973DD" w:rsidP="00791098">
            <w:pPr>
              <w:rPr>
                <w:rFonts w:asciiTheme="minorHAnsi" w:hAnsiTheme="minorHAnsi" w:cstheme="minorHAnsi"/>
                <w:color w:val="000000"/>
              </w:rPr>
            </w:pPr>
          </w:p>
          <w:p w14:paraId="7BAC7BD5"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DMC fund</w:t>
            </w: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23179843"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tc>
        <w:tc>
          <w:tcPr>
            <w:tcW w:w="4500" w:type="dxa"/>
            <w:gridSpan w:val="8"/>
            <w:tcBorders>
              <w:top w:val="single" w:sz="4" w:space="0" w:color="000000"/>
              <w:left w:val="single" w:sz="4" w:space="0" w:color="808080"/>
              <w:bottom w:val="single" w:sz="4" w:space="0" w:color="000000"/>
              <w:right w:val="single" w:sz="4" w:space="0" w:color="FFFFFF"/>
            </w:tcBorders>
            <w:vAlign w:val="center"/>
          </w:tcPr>
          <w:p w14:paraId="5B38FBCF"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3366"/>
                <w:lang w:bidi="si-LK"/>
              </w:rPr>
              <w:t>The DMC fund can receive monies by way of loans, donations, gifts or grants from any lawful source in or outside Sri Lanka</w:t>
            </w:r>
            <w:r w:rsidRPr="008973DD">
              <w:rPr>
                <w:rFonts w:asciiTheme="minorHAnsi" w:hAnsiTheme="minorHAnsi" w:cstheme="minorHAnsi"/>
                <w:color w:val="000000"/>
                <w:lang w:bidi="si-LK"/>
              </w:rPr>
              <w:t>.</w:t>
            </w:r>
          </w:p>
        </w:tc>
      </w:tr>
      <w:tr w:rsidR="008973DD" w:rsidRPr="002A7044" w14:paraId="102736F1" w14:textId="77777777" w:rsidTr="008973DD">
        <w:trPr>
          <w:trHeight w:val="998"/>
        </w:trPr>
        <w:tc>
          <w:tcPr>
            <w:tcW w:w="1980" w:type="dxa"/>
            <w:tcBorders>
              <w:top w:val="single" w:sz="4" w:space="0" w:color="000000"/>
              <w:left w:val="single" w:sz="4" w:space="0" w:color="FFFFFF"/>
              <w:bottom w:val="single" w:sz="4" w:space="0" w:color="000000"/>
              <w:right w:val="single" w:sz="4" w:space="0" w:color="808080"/>
            </w:tcBorders>
          </w:tcPr>
          <w:p w14:paraId="74F8F239" w14:textId="77777777" w:rsidR="008973DD" w:rsidRPr="008973DD" w:rsidRDefault="008973DD" w:rsidP="00791098">
            <w:pPr>
              <w:ind w:left="72"/>
              <w:rPr>
                <w:rFonts w:asciiTheme="minorHAnsi" w:hAnsiTheme="minorHAnsi" w:cstheme="minorHAnsi"/>
                <w:color w:val="000000"/>
              </w:rPr>
            </w:pPr>
          </w:p>
          <w:p w14:paraId="0D7160E8"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rPr>
              <w:t xml:space="preserve">Urban Development Authority Law </w:t>
            </w:r>
            <w:r w:rsidRPr="008973DD">
              <w:rPr>
                <w:rFonts w:asciiTheme="minorHAnsi" w:hAnsiTheme="minorHAnsi" w:cstheme="minorHAnsi"/>
                <w:color w:val="000000"/>
                <w:lang w:bidi="si-LK"/>
              </w:rPr>
              <w:t>No. 41 of 1978 and its amendments</w:t>
            </w:r>
          </w:p>
        </w:tc>
        <w:tc>
          <w:tcPr>
            <w:tcW w:w="1620" w:type="dxa"/>
            <w:tcBorders>
              <w:top w:val="single" w:sz="4" w:space="0" w:color="000000"/>
              <w:left w:val="single" w:sz="4" w:space="0" w:color="808080"/>
              <w:bottom w:val="single" w:sz="4" w:space="0" w:color="000000"/>
              <w:right w:val="single" w:sz="4" w:space="0" w:color="808080"/>
            </w:tcBorders>
          </w:tcPr>
          <w:p w14:paraId="519F62D8" w14:textId="77777777" w:rsidR="008973DD" w:rsidRPr="008973DD" w:rsidRDefault="008973DD" w:rsidP="00791098">
            <w:pPr>
              <w:rPr>
                <w:rFonts w:asciiTheme="minorHAnsi" w:hAnsiTheme="minorHAnsi" w:cstheme="minorHAnsi"/>
                <w:bCs/>
                <w:color w:val="000000"/>
              </w:rPr>
            </w:pPr>
          </w:p>
          <w:p w14:paraId="6A9FEC02"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bCs/>
                <w:color w:val="000000"/>
              </w:rPr>
              <w:t>UDA</w:t>
            </w:r>
          </w:p>
        </w:tc>
        <w:tc>
          <w:tcPr>
            <w:tcW w:w="1080" w:type="dxa"/>
            <w:tcBorders>
              <w:top w:val="single" w:sz="4" w:space="0" w:color="000000"/>
              <w:left w:val="single" w:sz="4" w:space="0" w:color="808080"/>
              <w:bottom w:val="single" w:sz="4" w:space="0" w:color="000000"/>
              <w:right w:val="single" w:sz="4" w:space="0" w:color="808080"/>
            </w:tcBorders>
          </w:tcPr>
          <w:p w14:paraId="142DE604" w14:textId="77777777" w:rsidR="008973DD" w:rsidRPr="008973DD" w:rsidRDefault="008973DD" w:rsidP="00791098">
            <w:pPr>
              <w:rPr>
                <w:rFonts w:asciiTheme="minorHAnsi" w:hAnsiTheme="minorHAnsi" w:cstheme="minorHAnsi"/>
                <w:bCs/>
                <w:color w:val="000000"/>
              </w:rPr>
            </w:pPr>
          </w:p>
          <w:p w14:paraId="3FDDE066"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bCs/>
                <w:color w:val="000000"/>
              </w:rPr>
              <w:t>UDA fund</w:t>
            </w:r>
          </w:p>
        </w:tc>
        <w:tc>
          <w:tcPr>
            <w:tcW w:w="900" w:type="dxa"/>
            <w:tcBorders>
              <w:top w:val="single" w:sz="4" w:space="0" w:color="000000"/>
              <w:left w:val="single" w:sz="4" w:space="0" w:color="808080"/>
              <w:bottom w:val="single" w:sz="4" w:space="0" w:color="000000"/>
              <w:right w:val="single" w:sz="4" w:space="0" w:color="808080"/>
            </w:tcBorders>
            <w:vAlign w:val="center"/>
          </w:tcPr>
          <w:p w14:paraId="3DF684B1" w14:textId="77777777" w:rsidR="008973DD" w:rsidRPr="008973DD" w:rsidRDefault="008973DD" w:rsidP="00791098">
            <w:pPr>
              <w:jc w:val="cente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354D59C3"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  x</w:t>
            </w:r>
          </w:p>
        </w:tc>
        <w:tc>
          <w:tcPr>
            <w:tcW w:w="3780" w:type="dxa"/>
            <w:gridSpan w:val="7"/>
            <w:tcBorders>
              <w:top w:val="single" w:sz="4" w:space="0" w:color="000000"/>
              <w:left w:val="single" w:sz="4" w:space="0" w:color="808080"/>
              <w:bottom w:val="single" w:sz="4" w:space="0" w:color="000000"/>
              <w:right w:val="single" w:sz="4" w:space="0" w:color="FFFFFF"/>
            </w:tcBorders>
          </w:tcPr>
          <w:p w14:paraId="7379510C" w14:textId="77777777" w:rsidR="008973DD" w:rsidRPr="008973DD" w:rsidRDefault="008973DD" w:rsidP="00791098">
            <w:pPr>
              <w:rPr>
                <w:rFonts w:asciiTheme="minorHAnsi" w:hAnsiTheme="minorHAnsi" w:cstheme="minorHAnsi"/>
                <w:color w:val="003366"/>
              </w:rPr>
            </w:pPr>
            <w:r w:rsidRPr="008973DD">
              <w:rPr>
                <w:rFonts w:asciiTheme="minorHAnsi" w:hAnsiTheme="minorHAnsi" w:cstheme="minorHAnsi"/>
                <w:color w:val="003366"/>
                <w:lang w:bidi="si-LK"/>
              </w:rPr>
              <w:t xml:space="preserve">The UDA can charge rents or fees for any building or for any services provided by it; accept gifts, grants, donations or subsidies whether in cash or otherwise and to apply them for carrying out any of the objects of the Authority. </w:t>
            </w:r>
          </w:p>
        </w:tc>
      </w:tr>
      <w:tr w:rsidR="008973DD" w:rsidRPr="002A7044" w14:paraId="086746A1" w14:textId="77777777" w:rsidTr="008973DD">
        <w:trPr>
          <w:trHeight w:val="1010"/>
        </w:trPr>
        <w:tc>
          <w:tcPr>
            <w:tcW w:w="1980" w:type="dxa"/>
            <w:tcBorders>
              <w:top w:val="single" w:sz="4" w:space="0" w:color="000000"/>
              <w:left w:val="single" w:sz="4" w:space="0" w:color="FFFFFF"/>
              <w:bottom w:val="single" w:sz="4" w:space="0" w:color="000000"/>
              <w:right w:val="single" w:sz="4" w:space="0" w:color="808080"/>
            </w:tcBorders>
          </w:tcPr>
          <w:p w14:paraId="4B737F83" w14:textId="77777777" w:rsidR="008973DD" w:rsidRPr="008973DD" w:rsidRDefault="008973DD" w:rsidP="00791098">
            <w:pPr>
              <w:ind w:left="72"/>
              <w:rPr>
                <w:rFonts w:asciiTheme="minorHAnsi" w:hAnsiTheme="minorHAnsi" w:cstheme="minorHAnsi"/>
                <w:color w:val="000000"/>
                <w:lang w:bidi="si-LK"/>
              </w:rPr>
            </w:pPr>
          </w:p>
          <w:p w14:paraId="28EF94C4"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Motor traffic Act no 14 of 1951 and its amendments</w:t>
            </w:r>
          </w:p>
          <w:p w14:paraId="0A2AE452" w14:textId="77777777" w:rsidR="008973DD" w:rsidRPr="008973DD" w:rsidRDefault="008973DD" w:rsidP="00791098">
            <w:pPr>
              <w:ind w:left="72"/>
              <w:rPr>
                <w:rFonts w:asciiTheme="minorHAnsi" w:hAnsiTheme="minorHAnsi" w:cstheme="minorHAnsi"/>
                <w:color w:val="000000"/>
                <w:lang w:bidi="si-LK"/>
              </w:rPr>
            </w:pPr>
            <w:r w:rsidRPr="008973DD">
              <w:rPr>
                <w:rFonts w:asciiTheme="minorHAnsi" w:hAnsiTheme="minorHAnsi" w:cstheme="minorHAnsi"/>
                <w:color w:val="000000"/>
                <w:lang w:bidi="si-LK"/>
              </w:rPr>
              <w:t xml:space="preserve"> </w:t>
            </w:r>
          </w:p>
        </w:tc>
        <w:tc>
          <w:tcPr>
            <w:tcW w:w="1620" w:type="dxa"/>
            <w:tcBorders>
              <w:top w:val="single" w:sz="4" w:space="0" w:color="000000"/>
              <w:left w:val="single" w:sz="4" w:space="0" w:color="808080"/>
              <w:bottom w:val="single" w:sz="4" w:space="0" w:color="000000"/>
              <w:right w:val="single" w:sz="4" w:space="0" w:color="808080"/>
            </w:tcBorders>
          </w:tcPr>
          <w:p w14:paraId="2A85CB59" w14:textId="77777777" w:rsidR="008973DD" w:rsidRPr="008973DD" w:rsidRDefault="008973DD" w:rsidP="00791098">
            <w:pPr>
              <w:rPr>
                <w:rFonts w:asciiTheme="minorHAnsi" w:hAnsiTheme="minorHAnsi" w:cstheme="minorHAnsi"/>
                <w:color w:val="000000"/>
                <w:lang w:bidi="si-LK"/>
              </w:rPr>
            </w:pPr>
          </w:p>
          <w:p w14:paraId="69D6D997"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 xml:space="preserve">Do MT </w:t>
            </w:r>
          </w:p>
        </w:tc>
        <w:tc>
          <w:tcPr>
            <w:tcW w:w="1080" w:type="dxa"/>
            <w:tcBorders>
              <w:top w:val="single" w:sz="4" w:space="0" w:color="000000"/>
              <w:left w:val="single" w:sz="4" w:space="0" w:color="808080"/>
              <w:bottom w:val="single" w:sz="4" w:space="0" w:color="000000"/>
              <w:right w:val="single" w:sz="4" w:space="0" w:color="808080"/>
            </w:tcBorders>
          </w:tcPr>
          <w:p w14:paraId="726661E6" w14:textId="77777777" w:rsidR="008973DD" w:rsidRPr="008973DD" w:rsidRDefault="008973DD" w:rsidP="00791098">
            <w:pPr>
              <w:rPr>
                <w:rFonts w:asciiTheme="minorHAnsi" w:hAnsiTheme="minorHAnsi" w:cstheme="minorHAnsi"/>
                <w:color w:val="000000"/>
                <w:lang w:bidi="si-LK"/>
              </w:rPr>
            </w:pPr>
          </w:p>
          <w:p w14:paraId="5CC6B1E9"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lang w:bidi="si-LK"/>
              </w:rPr>
              <w:t>Reward and Incentive Fund</w:t>
            </w:r>
          </w:p>
        </w:tc>
        <w:tc>
          <w:tcPr>
            <w:tcW w:w="90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4DA40D23" w14:textId="77777777" w:rsidR="008973DD" w:rsidRPr="008973DD" w:rsidRDefault="008973DD" w:rsidP="00791098">
            <w:pPr>
              <w:jc w:val="center"/>
              <w:rPr>
                <w:rFonts w:asciiTheme="minorHAnsi" w:hAnsiTheme="minorHAnsi" w:cstheme="minorHAnsi"/>
                <w:color w:val="000000"/>
              </w:rPr>
            </w:pPr>
            <w:r w:rsidRPr="008973DD">
              <w:rPr>
                <w:rFonts w:asciiTheme="minorHAnsi" w:hAnsiTheme="minorHAnsi" w:cstheme="minorHAnsi"/>
                <w:color w:val="000000"/>
              </w:rPr>
              <w:t>x</w:t>
            </w:r>
          </w:p>
          <w:p w14:paraId="2998DB39" w14:textId="77777777" w:rsidR="008973DD" w:rsidRPr="008973DD" w:rsidRDefault="008973DD" w:rsidP="00791098">
            <w:pPr>
              <w:jc w:val="center"/>
              <w:rPr>
                <w:rFonts w:asciiTheme="minorHAnsi" w:hAnsiTheme="minorHAnsi" w:cstheme="minorHAnsi"/>
                <w:color w:val="000000"/>
              </w:rPr>
            </w:pPr>
          </w:p>
        </w:tc>
        <w:tc>
          <w:tcPr>
            <w:tcW w:w="720" w:type="dxa"/>
            <w:tcBorders>
              <w:top w:val="single" w:sz="4" w:space="0" w:color="000000"/>
              <w:left w:val="single" w:sz="4" w:space="0" w:color="808080"/>
              <w:bottom w:val="single" w:sz="4" w:space="0" w:color="000000"/>
              <w:right w:val="single" w:sz="4" w:space="0" w:color="808080"/>
            </w:tcBorders>
            <w:shd w:val="clear" w:color="auto" w:fill="E0E0E0"/>
            <w:vAlign w:val="center"/>
          </w:tcPr>
          <w:p w14:paraId="681ED593"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x </w:t>
            </w:r>
          </w:p>
          <w:p w14:paraId="01F44744" w14:textId="77777777" w:rsidR="008973DD" w:rsidRPr="008973DD" w:rsidRDefault="008973DD" w:rsidP="00791098">
            <w:pPr>
              <w:rPr>
                <w:rFonts w:asciiTheme="minorHAnsi" w:hAnsiTheme="minorHAnsi" w:cstheme="minorHAnsi"/>
                <w:color w:val="000080"/>
              </w:rPr>
            </w:pPr>
            <w:r w:rsidRPr="008973DD">
              <w:rPr>
                <w:rFonts w:asciiTheme="minorHAnsi" w:hAnsiTheme="minorHAnsi" w:cstheme="minorHAnsi"/>
                <w:color w:val="000080"/>
              </w:rPr>
              <w:t>and</w:t>
            </w:r>
          </w:p>
          <w:p w14:paraId="135EAD89" w14:textId="77777777" w:rsidR="008973DD" w:rsidRPr="008973DD" w:rsidRDefault="008973DD" w:rsidP="00791098">
            <w:pPr>
              <w:rPr>
                <w:rFonts w:asciiTheme="minorHAnsi" w:hAnsiTheme="minorHAnsi" w:cstheme="minorHAnsi"/>
                <w:color w:val="000000"/>
              </w:rPr>
            </w:pPr>
            <w:proofErr w:type="spellStart"/>
            <w:r w:rsidRPr="008973DD">
              <w:rPr>
                <w:rFonts w:asciiTheme="minorHAnsi" w:hAnsiTheme="minorHAnsi" w:cstheme="minorHAnsi"/>
                <w:color w:val="000080"/>
              </w:rPr>
              <w:t>surch-arges</w:t>
            </w:r>
            <w:proofErr w:type="spellEnd"/>
          </w:p>
        </w:tc>
        <w:tc>
          <w:tcPr>
            <w:tcW w:w="900" w:type="dxa"/>
            <w:tcBorders>
              <w:top w:val="single" w:sz="4" w:space="0" w:color="000000"/>
              <w:left w:val="single" w:sz="4" w:space="0" w:color="808080"/>
              <w:bottom w:val="single" w:sz="4" w:space="0" w:color="000000"/>
              <w:right w:val="single" w:sz="4" w:space="0" w:color="808080"/>
            </w:tcBorders>
          </w:tcPr>
          <w:p w14:paraId="32340C3B" w14:textId="77777777" w:rsidR="008973DD" w:rsidRPr="008973DD" w:rsidRDefault="008973DD" w:rsidP="00791098">
            <w:pPr>
              <w:rPr>
                <w:rFonts w:asciiTheme="minorHAnsi" w:hAnsiTheme="minorHAnsi" w:cstheme="minorHAnsi"/>
                <w:color w:val="000000"/>
              </w:rPr>
            </w:pPr>
          </w:p>
        </w:tc>
        <w:tc>
          <w:tcPr>
            <w:tcW w:w="900" w:type="dxa"/>
            <w:gridSpan w:val="2"/>
            <w:tcBorders>
              <w:top w:val="single" w:sz="4" w:space="0" w:color="000000"/>
              <w:left w:val="single" w:sz="4" w:space="0" w:color="808080"/>
              <w:bottom w:val="single" w:sz="4" w:space="0" w:color="000000"/>
              <w:right w:val="single" w:sz="4" w:space="0" w:color="808080"/>
            </w:tcBorders>
          </w:tcPr>
          <w:p w14:paraId="11C60B67" w14:textId="77777777" w:rsidR="008973DD" w:rsidRPr="008973DD" w:rsidRDefault="008973DD" w:rsidP="00791098">
            <w:pPr>
              <w:rPr>
                <w:rFonts w:asciiTheme="minorHAnsi" w:hAnsiTheme="minorHAnsi" w:cstheme="minorHAnsi"/>
                <w:color w:val="000000"/>
              </w:rPr>
            </w:pPr>
          </w:p>
        </w:tc>
        <w:tc>
          <w:tcPr>
            <w:tcW w:w="1260" w:type="dxa"/>
            <w:gridSpan w:val="3"/>
            <w:tcBorders>
              <w:top w:val="single" w:sz="4" w:space="0" w:color="000000"/>
              <w:left w:val="single" w:sz="4" w:space="0" w:color="808080"/>
              <w:bottom w:val="single" w:sz="4" w:space="0" w:color="000000"/>
              <w:right w:val="single" w:sz="4" w:space="0" w:color="FFFFFF"/>
            </w:tcBorders>
          </w:tcPr>
          <w:p w14:paraId="75B02B55" w14:textId="77777777" w:rsidR="008973DD" w:rsidRPr="008973DD" w:rsidRDefault="008973DD" w:rsidP="00791098">
            <w:pPr>
              <w:rPr>
                <w:rFonts w:asciiTheme="minorHAnsi" w:hAnsiTheme="minorHAnsi" w:cstheme="minorHAnsi"/>
                <w:color w:val="000000"/>
              </w:rPr>
            </w:pPr>
          </w:p>
        </w:tc>
        <w:tc>
          <w:tcPr>
            <w:tcW w:w="720" w:type="dxa"/>
            <w:tcBorders>
              <w:left w:val="single" w:sz="4" w:space="0" w:color="FFFFFF"/>
              <w:bottom w:val="single" w:sz="4" w:space="0" w:color="000000"/>
              <w:right w:val="single" w:sz="4" w:space="0" w:color="FFFFFF"/>
            </w:tcBorders>
            <w:shd w:val="clear" w:color="auto" w:fill="E0E0E0"/>
          </w:tcPr>
          <w:p w14:paraId="027B4F93" w14:textId="77777777" w:rsidR="008973DD" w:rsidRPr="008973DD" w:rsidRDefault="008973DD" w:rsidP="00791098">
            <w:pPr>
              <w:rPr>
                <w:rFonts w:asciiTheme="minorHAnsi" w:hAnsiTheme="minorHAnsi" w:cstheme="minorHAnsi"/>
                <w:color w:val="000000"/>
              </w:rPr>
            </w:pPr>
          </w:p>
          <w:p w14:paraId="4FA858E6" w14:textId="77777777" w:rsidR="008973DD" w:rsidRPr="008973DD" w:rsidRDefault="008973DD" w:rsidP="00791098">
            <w:pPr>
              <w:rPr>
                <w:rFonts w:asciiTheme="minorHAnsi" w:hAnsiTheme="minorHAnsi" w:cstheme="minorHAnsi"/>
                <w:color w:val="000000"/>
              </w:rPr>
            </w:pPr>
            <w:r w:rsidRPr="008973DD">
              <w:rPr>
                <w:rFonts w:asciiTheme="minorHAnsi" w:hAnsiTheme="minorHAnsi" w:cstheme="minorHAnsi"/>
                <w:color w:val="000000"/>
              </w:rPr>
              <w:t xml:space="preserve">   x</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tblGrid>
      <w:tr w:rsidR="00863EE1" w14:paraId="6D3A8FC9" w14:textId="77777777" w:rsidTr="00863EE1">
        <w:tc>
          <w:tcPr>
            <w:tcW w:w="5976" w:type="dxa"/>
          </w:tcPr>
          <w:p w14:paraId="57F15D8B" w14:textId="77777777" w:rsidR="008973DD" w:rsidRDefault="008973DD" w:rsidP="00863EE1">
            <w:pPr>
              <w:jc w:val="center"/>
            </w:pPr>
          </w:p>
          <w:p w14:paraId="18FB7CE8" w14:textId="77777777" w:rsidR="008973DD" w:rsidRDefault="008973DD" w:rsidP="00863EE1">
            <w:pPr>
              <w:jc w:val="center"/>
            </w:pPr>
          </w:p>
          <w:p w14:paraId="78298E07" w14:textId="619E8259" w:rsidR="00863EE1" w:rsidRDefault="00863EE1" w:rsidP="00863EE1">
            <w:pPr>
              <w:jc w:val="center"/>
            </w:pPr>
            <w:r>
              <w:t>Wildlife under Threat</w:t>
            </w:r>
          </w:p>
        </w:tc>
      </w:tr>
      <w:tr w:rsidR="00863EE1" w14:paraId="0EF57152" w14:textId="77777777" w:rsidTr="00863EE1">
        <w:tc>
          <w:tcPr>
            <w:tcW w:w="5976" w:type="dxa"/>
          </w:tcPr>
          <w:p w14:paraId="7AAB0BED" w14:textId="7AB9BC0B" w:rsidR="00863EE1" w:rsidRDefault="00863EE1" w:rsidP="00766D93">
            <w:pPr>
              <w:jc w:val="both"/>
            </w:pPr>
            <w:r w:rsidRPr="00863EE1">
              <w:rPr>
                <w:noProof/>
                <w:lang w:val="en-AU" w:eastAsia="en-AU"/>
              </w:rPr>
              <w:drawing>
                <wp:inline distT="0" distB="0" distL="0" distR="0" wp14:anchorId="094D92E7" wp14:editId="094FDAB2">
                  <wp:extent cx="3655422" cy="2447925"/>
                  <wp:effectExtent l="0" t="0" r="2540" b="0"/>
                  <wp:docPr id="10" name="Picture 10" descr="C:\Users\USER\Pictures\Mugalan_m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ugalan_m25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8785" cy="2456874"/>
                          </a:xfrm>
                          <a:prstGeom prst="rect">
                            <a:avLst/>
                          </a:prstGeom>
                          <a:noFill/>
                          <a:ln>
                            <a:noFill/>
                          </a:ln>
                        </pic:spPr>
                      </pic:pic>
                    </a:graphicData>
                  </a:graphic>
                </wp:inline>
              </w:drawing>
            </w:r>
          </w:p>
        </w:tc>
      </w:tr>
      <w:tr w:rsidR="00863EE1" w:rsidRPr="00863EE1" w14:paraId="6BFB1771" w14:textId="77777777" w:rsidTr="00863EE1">
        <w:tc>
          <w:tcPr>
            <w:tcW w:w="5976" w:type="dxa"/>
          </w:tcPr>
          <w:p w14:paraId="23279BD8" w14:textId="72A429EC" w:rsidR="00863EE1" w:rsidRDefault="00863EE1" w:rsidP="00766D93">
            <w:pPr>
              <w:jc w:val="both"/>
              <w:rPr>
                <w:sz w:val="20"/>
              </w:rPr>
            </w:pPr>
            <w:r>
              <w:rPr>
                <w:sz w:val="20"/>
              </w:rPr>
              <w:t>A</w:t>
            </w:r>
            <w:r w:rsidR="00D8316F">
              <w:rPr>
                <w:sz w:val="20"/>
              </w:rPr>
              <w:t>n elephant</w:t>
            </w:r>
            <w:r>
              <w:rPr>
                <w:sz w:val="20"/>
              </w:rPr>
              <w:t xml:space="preserve"> found shot dead at </w:t>
            </w:r>
            <w:proofErr w:type="spellStart"/>
            <w:r>
              <w:rPr>
                <w:sz w:val="20"/>
              </w:rPr>
              <w:t>Udawalawe</w:t>
            </w:r>
            <w:proofErr w:type="spellEnd"/>
            <w:r>
              <w:rPr>
                <w:sz w:val="20"/>
              </w:rPr>
              <w:t xml:space="preserve"> National Park</w:t>
            </w:r>
          </w:p>
          <w:p w14:paraId="790911C1" w14:textId="2CCF2E15" w:rsidR="00863EE1" w:rsidRPr="00863EE1" w:rsidRDefault="00863EE1" w:rsidP="00766D93">
            <w:pPr>
              <w:jc w:val="both"/>
              <w:rPr>
                <w:sz w:val="20"/>
              </w:rPr>
            </w:pPr>
            <w:r w:rsidRPr="00863EE1">
              <w:rPr>
                <w:sz w:val="20"/>
              </w:rPr>
              <w:t>Source: Colombo Page, 2 December 2018</w:t>
            </w:r>
          </w:p>
        </w:tc>
      </w:tr>
    </w:tbl>
    <w:p w14:paraId="30C4E37D" w14:textId="77777777" w:rsidR="00863EE1" w:rsidRDefault="00863EE1" w:rsidP="00766D93">
      <w:pPr>
        <w:jc w:val="both"/>
      </w:pPr>
    </w:p>
    <w:p w14:paraId="10455A10" w14:textId="1C398D9B" w:rsidR="00673B15" w:rsidRPr="00CB1CAB" w:rsidRDefault="00CB1CAB" w:rsidP="00CB1CAB">
      <w:pPr>
        <w:rPr>
          <w:rFonts w:ascii="Trebuchet MS" w:hAnsi="Trebuchet MS" w:cs="Arial"/>
          <w:color w:val="000000"/>
          <w:sz w:val="20"/>
          <w:szCs w:val="20"/>
          <w:lang w:bidi="si-LK"/>
        </w:rPr>
      </w:pPr>
      <w:r>
        <w:t xml:space="preserve">As per the Policies and Institutional Review conducted by the BIOFIN </w:t>
      </w:r>
      <w:proofErr w:type="spellStart"/>
      <w:r>
        <w:t>programme</w:t>
      </w:r>
      <w:proofErr w:type="spellEnd"/>
      <w:r>
        <w:t>, m</w:t>
      </w:r>
      <w:r w:rsidRPr="00CB1CAB">
        <w:t>ost laws enable revenue from fines for contravening legal provisions of the various laws and most fines are updated, and apart from a very few, have adequate monetary penalties. However, courts tend to place the fines at the lower scale. This is because members of the judiciary are not</w:t>
      </w:r>
      <w:r>
        <w:rPr>
          <w:rFonts w:ascii="Trebuchet MS" w:hAnsi="Trebuchet MS" w:cs="Arial"/>
          <w:color w:val="000000"/>
          <w:sz w:val="20"/>
          <w:szCs w:val="20"/>
          <w:lang w:bidi="si-LK"/>
        </w:rPr>
        <w:t xml:space="preserve"> familiar with the importance of bio-resources and ramifications of over-exploitation. </w:t>
      </w:r>
      <w:r w:rsidR="001B4410">
        <w:t xml:space="preserve">Secondly, the implementation mechanisms are fragmented so that there are numerous anomalies across the system affecting the efficiency and effectiveness of the penalty system. Thirdly, the mobilized funds are mostly credited to the consolidated account of the government so that the direct impact of environment penalty system on biodiversity remains an issue for concern. </w:t>
      </w:r>
      <w:r w:rsidR="00F2184F">
        <w:t xml:space="preserve">Fourthly, </w:t>
      </w:r>
      <w:r w:rsidR="00FD6DB2">
        <w:t xml:space="preserve">while </w:t>
      </w:r>
      <w:r w:rsidR="00F2184F">
        <w:t xml:space="preserve">a few of the agencies implementing various penalty mechanisms have the right to retain a portion of the revenue, a majority </w:t>
      </w:r>
      <w:r w:rsidR="004D4F7B">
        <w:t xml:space="preserve">do not have an autonomy as such; for instance, the </w:t>
      </w:r>
      <w:r w:rsidR="003154F5" w:rsidRPr="003154F5">
        <w:t>Department of National Botanic Gardens</w:t>
      </w:r>
      <w:r w:rsidR="00F2184F" w:rsidRPr="003154F5">
        <w:t xml:space="preserve"> </w:t>
      </w:r>
      <w:r w:rsidR="003154F5">
        <w:t xml:space="preserve">can retain 25 percent its earnings from fees, but most of the Departments cannot retain any of their earnings. </w:t>
      </w:r>
      <w:r w:rsidR="00F2184F">
        <w:t>Finally, there is a need for reviewing and improving the institutional and regulatory mechanisms that govern the environment penalty mechanisms. All these issues point to the weaknesses of the environment penalty system which ultimately affect their effective and efficient utilization.</w:t>
      </w:r>
    </w:p>
    <w:p w14:paraId="79F552FE" w14:textId="4EB8888F" w:rsidR="006D1AAD" w:rsidRDefault="00766D93" w:rsidP="00766D93">
      <w:pPr>
        <w:jc w:val="both"/>
      </w:pPr>
      <w:r>
        <w:t xml:space="preserve">The finance solution </w:t>
      </w:r>
      <w:r w:rsidR="00823CEB">
        <w:t xml:space="preserve">consists of 2 steps: </w:t>
      </w:r>
      <w:r w:rsidR="006D1AAD">
        <w:t>First is the G</w:t>
      </w:r>
      <w:r w:rsidR="00823CEB">
        <w:t>ap Analysis</w:t>
      </w:r>
      <w:r w:rsidR="00F2184F">
        <w:t xml:space="preserve"> of the environmental penalty system in the country, </w:t>
      </w:r>
      <w:r w:rsidR="00823CEB">
        <w:t>including</w:t>
      </w:r>
      <w:r w:rsidR="00F2184F">
        <w:t xml:space="preserve"> </w:t>
      </w:r>
      <w:r w:rsidR="006D1AAD">
        <w:t xml:space="preserve">other revenues such as license fees, entry fees and sales incomes; the Gap Analysis should also include </w:t>
      </w:r>
      <w:r w:rsidR="00F2184F">
        <w:t>policy recommendations ensuring</w:t>
      </w:r>
      <w:r>
        <w:t xml:space="preserve"> improved revenue generation and </w:t>
      </w:r>
      <w:r w:rsidR="00F2184F">
        <w:t>effective utilization of the revenue</w:t>
      </w:r>
      <w:r w:rsidR="006D1AAD">
        <w:t xml:space="preserve">. The study is aimed at analyzing the existing legal and institutional framework, methodology for determining the penalties and fees, appropriateness of the current penalties and fees, the enforcement issues, fund collection and disbursement, and capacity building. </w:t>
      </w:r>
    </w:p>
    <w:p w14:paraId="42AA623B" w14:textId="537DD23C" w:rsidR="00766D93" w:rsidRDefault="006D1AAD" w:rsidP="00766D93">
      <w:pPr>
        <w:jc w:val="both"/>
      </w:pPr>
      <w:r>
        <w:t xml:space="preserve">Second is the </w:t>
      </w:r>
      <w:r w:rsidR="00823CEB">
        <w:t>implement</w:t>
      </w:r>
      <w:r>
        <w:t>ation of the</w:t>
      </w:r>
      <w:r w:rsidR="00453DF8">
        <w:t xml:space="preserve"> proposed </w:t>
      </w:r>
      <w:r w:rsidR="00823CEB">
        <w:t>improvements</w:t>
      </w:r>
      <w:r>
        <w:t>.</w:t>
      </w:r>
      <w:r w:rsidR="00F2184F">
        <w:t xml:space="preserve"> </w:t>
      </w:r>
      <w:r w:rsidR="00766D93">
        <w:t xml:space="preserve">The scheme can be extended to cover local government bodies, which have the responsibility to maintain the clean environment and sanitary standards within their local administrative divisions. </w:t>
      </w:r>
    </w:p>
    <w:p w14:paraId="1D8736BF" w14:textId="77777777" w:rsidR="00766D93" w:rsidRDefault="00766D93" w:rsidP="00766D93">
      <w:pPr>
        <w:jc w:val="both"/>
      </w:pPr>
      <w:r>
        <w:t>Business case</w:t>
      </w:r>
    </w:p>
    <w:p w14:paraId="674BF189" w14:textId="77777777" w:rsidR="00766D93" w:rsidRDefault="00766D93" w:rsidP="00766D93">
      <w:pPr>
        <w:jc w:val="both"/>
      </w:pPr>
      <w:r>
        <w:t>The proposed finance solution is aimed at generating more resources for investing in biodiversity, but also for reducing the environmental crimes. Therefore, it is within the purview of the government’s mandate and commitment for conservation and sustainable use of biodiversity. At individual institutional levels, the proposal is expected to enhance autonomy and capacity to engage effectively in the area of their responsibilities so that it is believed to be attractive to the individual institutions as well. The individual institutions also include local governments which will have an improved financial capability to keep their administrative divisions free from environmental crimes. The proposal is expected to be welcomed by the local communities which seek better environment for living and working.</w:t>
      </w:r>
    </w:p>
    <w:p w14:paraId="677DFECA" w14:textId="77777777" w:rsidR="00766D93" w:rsidRDefault="00766D93" w:rsidP="00766D93">
      <w:pPr>
        <w:jc w:val="both"/>
      </w:pPr>
      <w:r>
        <w:t>Responsibility</w:t>
      </w:r>
    </w:p>
    <w:p w14:paraId="67A48C68" w14:textId="77777777" w:rsidR="00766D93" w:rsidRDefault="00766D93" w:rsidP="00766D93">
      <w:pPr>
        <w:jc w:val="both"/>
      </w:pPr>
      <w:r>
        <w:t>The key responsibilities are with the Ministry of Mahaweli Development and Environment (MMDE), Ministry of Local Government and Provincial Councils (MLGPC), Ministry of Finance (MF) and, the Sri Lanka Police.</w:t>
      </w:r>
    </w:p>
    <w:p w14:paraId="2EAB69BE" w14:textId="77777777" w:rsidR="00766D93" w:rsidRDefault="00766D93" w:rsidP="00766D93">
      <w:pPr>
        <w:jc w:val="both"/>
      </w:pPr>
      <w:r>
        <w:t xml:space="preserve">The relevant government agencies that are operating under the above Ministries are as follows: At national level, Forest Department (FD), Department of Wildlife Conservation (DWC) and, Department of Coast Conservation and Coastal Resource Management (DCC) and relevant statutory bodies; At local level, Municipalities, Urban Councils, and </w:t>
      </w:r>
      <w:proofErr w:type="spellStart"/>
      <w:r>
        <w:t>Pradeshiya</w:t>
      </w:r>
      <w:proofErr w:type="spellEnd"/>
      <w:r>
        <w:t xml:space="preserve"> </w:t>
      </w:r>
      <w:proofErr w:type="spellStart"/>
      <w:r>
        <w:t>Sabhas</w:t>
      </w:r>
      <w:proofErr w:type="spellEnd"/>
      <w:r>
        <w:t>; Sri Lanka Police in general and its Environmental Unit in particular can be the supporting institutions to engage in law-enforcement.</w:t>
      </w:r>
    </w:p>
    <w:p w14:paraId="42CD0FA6" w14:textId="4D588880" w:rsidR="009F6F40" w:rsidRDefault="009F6F40" w:rsidP="00766D93">
      <w:pPr>
        <w:jc w:val="both"/>
      </w:pPr>
      <w:r>
        <w:t>Financial result</w:t>
      </w:r>
    </w:p>
    <w:p w14:paraId="09459457" w14:textId="3AD33CBB" w:rsidR="009F6F40" w:rsidRDefault="00462663" w:rsidP="00462663">
      <w:pPr>
        <w:jc w:val="both"/>
      </w:pPr>
      <w:r>
        <w:t>The solution applies to both mobilizing financial resources and preventing future costs. The revenue target from both mobilized finances and saved future costs is expected to be LKR 1 billion for the seven-year plan period; this would be equivalent to approximately US$ 1 million per year.</w:t>
      </w:r>
    </w:p>
    <w:p w14:paraId="751E7711" w14:textId="04E5647B" w:rsidR="00F921A8" w:rsidRDefault="00F921A8" w:rsidP="00462663">
      <w:pPr>
        <w:jc w:val="both"/>
      </w:pPr>
      <w:r>
        <w:t xml:space="preserve">The proposal is intended to bring about positive impact on biodiversity in two facets: </w:t>
      </w:r>
      <w:r w:rsidR="00DD4ED0">
        <w:t>T</w:t>
      </w:r>
      <w:r>
        <w:t xml:space="preserve">he improvement in the environment penalty </w:t>
      </w:r>
      <w:r w:rsidR="00DD4ED0">
        <w:t>system is expected to have a positive impact on biodiversity, on the one hand. The improvement in the revenue utilization is expected to have a positive impact on biodiversity, on the other hand.</w:t>
      </w:r>
    </w:p>
    <w:p w14:paraId="24DE72C3" w14:textId="594196A3" w:rsidR="00DD4ED0" w:rsidRDefault="001C2844" w:rsidP="00462663">
      <w:pPr>
        <w:jc w:val="both"/>
      </w:pPr>
      <w:r>
        <w:t xml:space="preserve">Due to wider coverage of the finance solution to include all forms of revenue generation from such measures as </w:t>
      </w:r>
      <w:r w:rsidRPr="001C2844">
        <w:t>penalties, fees, licenses and compensations</w:t>
      </w:r>
      <w:r>
        <w:t>, as well as the utilization of revenue for biodiversity conservation in the respective areas, the proposal is also expected to cover multiple biodiversity targets.</w:t>
      </w:r>
    </w:p>
    <w:p w14:paraId="01047073" w14:textId="77777777" w:rsidR="00766D93" w:rsidRDefault="00766D93" w:rsidP="00766D93">
      <w:pPr>
        <w:jc w:val="both"/>
      </w:pPr>
      <w:r>
        <w:t>Action plan</w:t>
      </w:r>
    </w:p>
    <w:tbl>
      <w:tblPr>
        <w:tblStyle w:val="TableGrid"/>
        <w:tblW w:w="0" w:type="auto"/>
        <w:tblLook w:val="04A0" w:firstRow="1" w:lastRow="0" w:firstColumn="1" w:lastColumn="0" w:noHBand="0" w:noVBand="1"/>
      </w:tblPr>
      <w:tblGrid>
        <w:gridCol w:w="2014"/>
        <w:gridCol w:w="2039"/>
        <w:gridCol w:w="1506"/>
        <w:gridCol w:w="494"/>
        <w:gridCol w:w="494"/>
        <w:gridCol w:w="494"/>
        <w:gridCol w:w="494"/>
        <w:gridCol w:w="494"/>
        <w:gridCol w:w="494"/>
        <w:gridCol w:w="494"/>
      </w:tblGrid>
      <w:tr w:rsidR="00766D93" w14:paraId="4B67D70B" w14:textId="77777777" w:rsidTr="002B3FF4">
        <w:tc>
          <w:tcPr>
            <w:tcW w:w="2014" w:type="dxa"/>
            <w:vMerge w:val="restart"/>
            <w:vAlign w:val="center"/>
          </w:tcPr>
          <w:p w14:paraId="225A97C3" w14:textId="77777777" w:rsidR="00766D93" w:rsidRPr="00C27851" w:rsidRDefault="00766D93" w:rsidP="002B3FF4">
            <w:pPr>
              <w:jc w:val="center"/>
            </w:pPr>
            <w:r w:rsidRPr="00C27851">
              <w:t>Output</w:t>
            </w:r>
          </w:p>
        </w:tc>
        <w:tc>
          <w:tcPr>
            <w:tcW w:w="2039" w:type="dxa"/>
            <w:vMerge w:val="restart"/>
            <w:vAlign w:val="center"/>
          </w:tcPr>
          <w:p w14:paraId="087CDF39" w14:textId="77777777" w:rsidR="00766D93" w:rsidRPr="00C27851" w:rsidRDefault="00766D93" w:rsidP="002B3FF4">
            <w:pPr>
              <w:jc w:val="center"/>
            </w:pPr>
            <w:r w:rsidRPr="00C27851">
              <w:t>Main activities</w:t>
            </w:r>
          </w:p>
        </w:tc>
        <w:tc>
          <w:tcPr>
            <w:tcW w:w="1506" w:type="dxa"/>
            <w:vMerge w:val="restart"/>
            <w:vAlign w:val="center"/>
          </w:tcPr>
          <w:p w14:paraId="398C4258" w14:textId="77777777" w:rsidR="00766D93" w:rsidRPr="00C27851" w:rsidRDefault="00766D93" w:rsidP="002B3FF4">
            <w:pPr>
              <w:jc w:val="center"/>
            </w:pPr>
            <w:r w:rsidRPr="00C27851">
              <w:t>Responsibility</w:t>
            </w:r>
          </w:p>
        </w:tc>
        <w:tc>
          <w:tcPr>
            <w:tcW w:w="3458" w:type="dxa"/>
            <w:gridSpan w:val="7"/>
            <w:vAlign w:val="center"/>
          </w:tcPr>
          <w:p w14:paraId="54DA07BE" w14:textId="77777777" w:rsidR="00766D93" w:rsidRPr="00C27851" w:rsidRDefault="00766D93" w:rsidP="002B3FF4">
            <w:pPr>
              <w:jc w:val="center"/>
            </w:pPr>
            <w:r w:rsidRPr="00C27851">
              <w:t>Year</w:t>
            </w:r>
          </w:p>
        </w:tc>
      </w:tr>
      <w:tr w:rsidR="00766D93" w14:paraId="1990E03A" w14:textId="77777777" w:rsidTr="002B3FF4">
        <w:tc>
          <w:tcPr>
            <w:tcW w:w="2014" w:type="dxa"/>
            <w:vMerge/>
            <w:vAlign w:val="center"/>
          </w:tcPr>
          <w:p w14:paraId="69B1A4B9" w14:textId="77777777" w:rsidR="00766D93" w:rsidRDefault="00766D93" w:rsidP="002B3FF4">
            <w:pPr>
              <w:jc w:val="center"/>
            </w:pPr>
          </w:p>
        </w:tc>
        <w:tc>
          <w:tcPr>
            <w:tcW w:w="2039" w:type="dxa"/>
            <w:vMerge/>
            <w:vAlign w:val="center"/>
          </w:tcPr>
          <w:p w14:paraId="5F094457" w14:textId="77777777" w:rsidR="00766D93" w:rsidRDefault="00766D93" w:rsidP="002B3FF4">
            <w:pPr>
              <w:jc w:val="center"/>
            </w:pPr>
          </w:p>
        </w:tc>
        <w:tc>
          <w:tcPr>
            <w:tcW w:w="1506" w:type="dxa"/>
            <w:vMerge/>
            <w:vAlign w:val="center"/>
          </w:tcPr>
          <w:p w14:paraId="018FB678" w14:textId="77777777" w:rsidR="00766D93" w:rsidRDefault="00766D93" w:rsidP="002B3FF4">
            <w:pPr>
              <w:jc w:val="center"/>
            </w:pPr>
          </w:p>
        </w:tc>
        <w:tc>
          <w:tcPr>
            <w:tcW w:w="494" w:type="dxa"/>
            <w:vAlign w:val="center"/>
          </w:tcPr>
          <w:p w14:paraId="0157CC8D" w14:textId="77777777" w:rsidR="00766D93" w:rsidRDefault="00766D93" w:rsidP="002B3FF4">
            <w:pPr>
              <w:jc w:val="center"/>
            </w:pPr>
            <w:r w:rsidRPr="00C27851">
              <w:t>‘18</w:t>
            </w:r>
          </w:p>
        </w:tc>
        <w:tc>
          <w:tcPr>
            <w:tcW w:w="494" w:type="dxa"/>
            <w:vAlign w:val="center"/>
          </w:tcPr>
          <w:p w14:paraId="204EDE1F" w14:textId="77777777" w:rsidR="00766D93" w:rsidRDefault="00766D93" w:rsidP="002B3FF4">
            <w:pPr>
              <w:jc w:val="center"/>
            </w:pPr>
            <w:r w:rsidRPr="00C27851">
              <w:t>‘19</w:t>
            </w:r>
          </w:p>
        </w:tc>
        <w:tc>
          <w:tcPr>
            <w:tcW w:w="494" w:type="dxa"/>
            <w:vAlign w:val="center"/>
          </w:tcPr>
          <w:p w14:paraId="0CAC0046" w14:textId="77777777" w:rsidR="00766D93" w:rsidRDefault="00766D93" w:rsidP="002B3FF4">
            <w:pPr>
              <w:jc w:val="center"/>
            </w:pPr>
            <w:r w:rsidRPr="00C27851">
              <w:t>‘20</w:t>
            </w:r>
          </w:p>
        </w:tc>
        <w:tc>
          <w:tcPr>
            <w:tcW w:w="494" w:type="dxa"/>
            <w:vAlign w:val="center"/>
          </w:tcPr>
          <w:p w14:paraId="3D9340AE" w14:textId="77777777" w:rsidR="00766D93" w:rsidRDefault="00766D93" w:rsidP="002B3FF4">
            <w:pPr>
              <w:jc w:val="center"/>
            </w:pPr>
            <w:r w:rsidRPr="00C27851">
              <w:t>‘21</w:t>
            </w:r>
          </w:p>
        </w:tc>
        <w:tc>
          <w:tcPr>
            <w:tcW w:w="494" w:type="dxa"/>
            <w:vAlign w:val="center"/>
          </w:tcPr>
          <w:p w14:paraId="55251ABB" w14:textId="77777777" w:rsidR="00766D93" w:rsidRDefault="00766D93" w:rsidP="002B3FF4">
            <w:pPr>
              <w:jc w:val="center"/>
            </w:pPr>
            <w:r w:rsidRPr="00C27851">
              <w:t>‘22</w:t>
            </w:r>
          </w:p>
        </w:tc>
        <w:tc>
          <w:tcPr>
            <w:tcW w:w="494" w:type="dxa"/>
            <w:vAlign w:val="center"/>
          </w:tcPr>
          <w:p w14:paraId="0B7F4D0E" w14:textId="77777777" w:rsidR="00766D93" w:rsidRDefault="00766D93" w:rsidP="002B3FF4">
            <w:pPr>
              <w:jc w:val="center"/>
            </w:pPr>
            <w:r w:rsidRPr="00C27851">
              <w:t>‘23</w:t>
            </w:r>
          </w:p>
        </w:tc>
        <w:tc>
          <w:tcPr>
            <w:tcW w:w="494" w:type="dxa"/>
            <w:vAlign w:val="center"/>
          </w:tcPr>
          <w:p w14:paraId="2DBBD2C0" w14:textId="77777777" w:rsidR="00766D93" w:rsidRDefault="00766D93" w:rsidP="002B3FF4">
            <w:pPr>
              <w:jc w:val="center"/>
            </w:pPr>
            <w:r w:rsidRPr="00C27851">
              <w:t>‘24</w:t>
            </w:r>
          </w:p>
        </w:tc>
      </w:tr>
      <w:tr w:rsidR="00766D93" w14:paraId="26F5F649" w14:textId="77777777" w:rsidTr="002B3FF4">
        <w:tc>
          <w:tcPr>
            <w:tcW w:w="2014" w:type="dxa"/>
            <w:vMerge w:val="restart"/>
            <w:vAlign w:val="center"/>
          </w:tcPr>
          <w:p w14:paraId="5811DE7B" w14:textId="77777777" w:rsidR="00766D93" w:rsidRDefault="00766D93" w:rsidP="002B3FF4">
            <w:r>
              <w:t>A study report on environment penalties in Sri Lanka</w:t>
            </w:r>
          </w:p>
        </w:tc>
        <w:tc>
          <w:tcPr>
            <w:tcW w:w="2039" w:type="dxa"/>
            <w:vAlign w:val="center"/>
          </w:tcPr>
          <w:p w14:paraId="4090FE68" w14:textId="77777777" w:rsidR="00766D93" w:rsidRDefault="00766D93" w:rsidP="002B3FF4">
            <w:r>
              <w:t>Consultation with stakeholders</w:t>
            </w:r>
          </w:p>
        </w:tc>
        <w:tc>
          <w:tcPr>
            <w:tcW w:w="1506" w:type="dxa"/>
            <w:vAlign w:val="center"/>
          </w:tcPr>
          <w:p w14:paraId="157CC0F0" w14:textId="77777777" w:rsidR="00766D93" w:rsidRDefault="00766D93" w:rsidP="002B3FF4">
            <w:r>
              <w:t>MMDE</w:t>
            </w:r>
          </w:p>
          <w:p w14:paraId="6E0272E7" w14:textId="77777777" w:rsidR="00766D93" w:rsidRDefault="00766D93" w:rsidP="002B3FF4">
            <w:r>
              <w:t>MLGPC</w:t>
            </w:r>
          </w:p>
          <w:p w14:paraId="6EFEFF34" w14:textId="77777777" w:rsidR="00766D93" w:rsidRDefault="00766D93" w:rsidP="002B3FF4">
            <w:r>
              <w:t>MF</w:t>
            </w:r>
          </w:p>
        </w:tc>
        <w:tc>
          <w:tcPr>
            <w:tcW w:w="494" w:type="dxa"/>
            <w:shd w:val="clear" w:color="auto" w:fill="FFFFFF" w:themeFill="background1"/>
            <w:vAlign w:val="center"/>
          </w:tcPr>
          <w:p w14:paraId="47914E53" w14:textId="77777777" w:rsidR="00766D93" w:rsidRDefault="00766D93" w:rsidP="002B3FF4">
            <w:pPr>
              <w:jc w:val="center"/>
            </w:pPr>
          </w:p>
        </w:tc>
        <w:tc>
          <w:tcPr>
            <w:tcW w:w="494" w:type="dxa"/>
            <w:shd w:val="clear" w:color="auto" w:fill="BFBFBF" w:themeFill="background1" w:themeFillShade="BF"/>
            <w:vAlign w:val="center"/>
          </w:tcPr>
          <w:p w14:paraId="2C76974D" w14:textId="77777777" w:rsidR="00766D93" w:rsidRDefault="00766D93" w:rsidP="002B3FF4">
            <w:pPr>
              <w:jc w:val="center"/>
            </w:pPr>
          </w:p>
        </w:tc>
        <w:tc>
          <w:tcPr>
            <w:tcW w:w="494" w:type="dxa"/>
            <w:shd w:val="clear" w:color="auto" w:fill="BFBFBF" w:themeFill="background1" w:themeFillShade="BF"/>
            <w:vAlign w:val="center"/>
          </w:tcPr>
          <w:p w14:paraId="5C9733F2" w14:textId="77777777" w:rsidR="00766D93" w:rsidRDefault="00766D93" w:rsidP="002B3FF4">
            <w:pPr>
              <w:jc w:val="center"/>
            </w:pPr>
          </w:p>
        </w:tc>
        <w:tc>
          <w:tcPr>
            <w:tcW w:w="494" w:type="dxa"/>
            <w:vAlign w:val="center"/>
          </w:tcPr>
          <w:p w14:paraId="2FB0B5FD" w14:textId="77777777" w:rsidR="00766D93" w:rsidRDefault="00766D93" w:rsidP="002B3FF4">
            <w:pPr>
              <w:jc w:val="center"/>
            </w:pPr>
          </w:p>
        </w:tc>
        <w:tc>
          <w:tcPr>
            <w:tcW w:w="494" w:type="dxa"/>
            <w:vAlign w:val="center"/>
          </w:tcPr>
          <w:p w14:paraId="2942740B" w14:textId="77777777" w:rsidR="00766D93" w:rsidRDefault="00766D93" w:rsidP="002B3FF4">
            <w:pPr>
              <w:jc w:val="center"/>
            </w:pPr>
          </w:p>
        </w:tc>
        <w:tc>
          <w:tcPr>
            <w:tcW w:w="494" w:type="dxa"/>
            <w:vAlign w:val="center"/>
          </w:tcPr>
          <w:p w14:paraId="756A8842" w14:textId="77777777" w:rsidR="00766D93" w:rsidRDefault="00766D93" w:rsidP="002B3FF4">
            <w:pPr>
              <w:jc w:val="center"/>
            </w:pPr>
          </w:p>
        </w:tc>
        <w:tc>
          <w:tcPr>
            <w:tcW w:w="494" w:type="dxa"/>
            <w:vAlign w:val="center"/>
          </w:tcPr>
          <w:p w14:paraId="12FA4A02" w14:textId="77777777" w:rsidR="00766D93" w:rsidRDefault="00766D93" w:rsidP="002B3FF4">
            <w:pPr>
              <w:jc w:val="center"/>
            </w:pPr>
          </w:p>
        </w:tc>
      </w:tr>
      <w:tr w:rsidR="00766D93" w14:paraId="290DABC9" w14:textId="77777777" w:rsidTr="002B3FF4">
        <w:tc>
          <w:tcPr>
            <w:tcW w:w="2014" w:type="dxa"/>
            <w:vMerge/>
            <w:vAlign w:val="center"/>
          </w:tcPr>
          <w:p w14:paraId="44F613E7" w14:textId="77777777" w:rsidR="00766D93" w:rsidRDefault="00766D93" w:rsidP="002B3FF4"/>
        </w:tc>
        <w:tc>
          <w:tcPr>
            <w:tcW w:w="2039" w:type="dxa"/>
            <w:vAlign w:val="center"/>
          </w:tcPr>
          <w:p w14:paraId="2F666667" w14:textId="77777777" w:rsidR="00766D93" w:rsidRDefault="00766D93" w:rsidP="002B3FF4">
            <w:r>
              <w:t>Reviewing the current status and, institutional and regulatory mechanisms</w:t>
            </w:r>
          </w:p>
        </w:tc>
        <w:tc>
          <w:tcPr>
            <w:tcW w:w="1506" w:type="dxa"/>
            <w:vAlign w:val="center"/>
          </w:tcPr>
          <w:p w14:paraId="06733CF6" w14:textId="77777777" w:rsidR="00766D93" w:rsidRDefault="00766D93" w:rsidP="002B3FF4">
            <w:r>
              <w:t>Team of experts</w:t>
            </w:r>
          </w:p>
        </w:tc>
        <w:tc>
          <w:tcPr>
            <w:tcW w:w="494" w:type="dxa"/>
            <w:vAlign w:val="center"/>
          </w:tcPr>
          <w:p w14:paraId="0DF65E0C" w14:textId="77777777" w:rsidR="00766D93" w:rsidRDefault="00766D93" w:rsidP="002B3FF4">
            <w:pPr>
              <w:jc w:val="center"/>
            </w:pPr>
          </w:p>
        </w:tc>
        <w:tc>
          <w:tcPr>
            <w:tcW w:w="494" w:type="dxa"/>
            <w:shd w:val="clear" w:color="auto" w:fill="BFBFBF" w:themeFill="background1" w:themeFillShade="BF"/>
            <w:vAlign w:val="center"/>
          </w:tcPr>
          <w:p w14:paraId="3F829A12" w14:textId="77777777" w:rsidR="00766D93" w:rsidRDefault="00766D93" w:rsidP="002B3FF4">
            <w:pPr>
              <w:jc w:val="center"/>
            </w:pPr>
          </w:p>
        </w:tc>
        <w:tc>
          <w:tcPr>
            <w:tcW w:w="494" w:type="dxa"/>
            <w:shd w:val="clear" w:color="auto" w:fill="BFBFBF" w:themeFill="background1" w:themeFillShade="BF"/>
            <w:vAlign w:val="center"/>
          </w:tcPr>
          <w:p w14:paraId="105D88B9" w14:textId="77777777" w:rsidR="00766D93" w:rsidRDefault="00766D93" w:rsidP="002B3FF4">
            <w:pPr>
              <w:jc w:val="center"/>
            </w:pPr>
          </w:p>
        </w:tc>
        <w:tc>
          <w:tcPr>
            <w:tcW w:w="494" w:type="dxa"/>
            <w:vAlign w:val="center"/>
          </w:tcPr>
          <w:p w14:paraId="6F52CF10" w14:textId="77777777" w:rsidR="00766D93" w:rsidRDefault="00766D93" w:rsidP="002B3FF4">
            <w:pPr>
              <w:jc w:val="center"/>
            </w:pPr>
          </w:p>
        </w:tc>
        <w:tc>
          <w:tcPr>
            <w:tcW w:w="494" w:type="dxa"/>
            <w:vAlign w:val="center"/>
          </w:tcPr>
          <w:p w14:paraId="56DE78F2" w14:textId="77777777" w:rsidR="00766D93" w:rsidRDefault="00766D93" w:rsidP="002B3FF4">
            <w:pPr>
              <w:jc w:val="center"/>
            </w:pPr>
          </w:p>
        </w:tc>
        <w:tc>
          <w:tcPr>
            <w:tcW w:w="494" w:type="dxa"/>
            <w:vAlign w:val="center"/>
          </w:tcPr>
          <w:p w14:paraId="2FD2B78D" w14:textId="77777777" w:rsidR="00766D93" w:rsidRDefault="00766D93" w:rsidP="002B3FF4">
            <w:pPr>
              <w:jc w:val="center"/>
            </w:pPr>
          </w:p>
        </w:tc>
        <w:tc>
          <w:tcPr>
            <w:tcW w:w="494" w:type="dxa"/>
            <w:vAlign w:val="center"/>
          </w:tcPr>
          <w:p w14:paraId="41D87BAE" w14:textId="77777777" w:rsidR="00766D93" w:rsidRDefault="00766D93" w:rsidP="002B3FF4">
            <w:pPr>
              <w:jc w:val="center"/>
            </w:pPr>
          </w:p>
        </w:tc>
      </w:tr>
      <w:tr w:rsidR="00766D93" w14:paraId="7411BCDA" w14:textId="77777777" w:rsidTr="002B3FF4">
        <w:tc>
          <w:tcPr>
            <w:tcW w:w="2014" w:type="dxa"/>
            <w:vMerge w:val="restart"/>
            <w:vAlign w:val="center"/>
          </w:tcPr>
          <w:p w14:paraId="0C84153D" w14:textId="77777777" w:rsidR="00766D93" w:rsidRDefault="00766D93" w:rsidP="002B3FF4">
            <w:r>
              <w:t>Environment penalties mechanism</w:t>
            </w:r>
          </w:p>
        </w:tc>
        <w:tc>
          <w:tcPr>
            <w:tcW w:w="2039" w:type="dxa"/>
            <w:vAlign w:val="center"/>
          </w:tcPr>
          <w:p w14:paraId="422F891F" w14:textId="77777777" w:rsidR="00766D93" w:rsidRDefault="00766D93" w:rsidP="002B3FF4">
            <w:r>
              <w:t>Designing an improved revenue generation and utilization</w:t>
            </w:r>
          </w:p>
        </w:tc>
        <w:tc>
          <w:tcPr>
            <w:tcW w:w="1506" w:type="dxa"/>
            <w:vAlign w:val="center"/>
          </w:tcPr>
          <w:p w14:paraId="34AC3A70" w14:textId="77777777" w:rsidR="00766D93" w:rsidRDefault="00766D93" w:rsidP="002B3FF4">
            <w:r>
              <w:t>Team of experts</w:t>
            </w:r>
          </w:p>
        </w:tc>
        <w:tc>
          <w:tcPr>
            <w:tcW w:w="494" w:type="dxa"/>
            <w:vAlign w:val="center"/>
          </w:tcPr>
          <w:p w14:paraId="4E4A9BCD" w14:textId="77777777" w:rsidR="00766D93" w:rsidRDefault="00766D93" w:rsidP="002B3FF4">
            <w:pPr>
              <w:jc w:val="center"/>
            </w:pPr>
          </w:p>
        </w:tc>
        <w:tc>
          <w:tcPr>
            <w:tcW w:w="494" w:type="dxa"/>
            <w:shd w:val="clear" w:color="auto" w:fill="FFFFFF" w:themeFill="background1"/>
            <w:vAlign w:val="center"/>
          </w:tcPr>
          <w:p w14:paraId="1F47DB65" w14:textId="77777777" w:rsidR="00766D93" w:rsidRDefault="00766D93" w:rsidP="002B3FF4">
            <w:pPr>
              <w:jc w:val="center"/>
            </w:pPr>
          </w:p>
        </w:tc>
        <w:tc>
          <w:tcPr>
            <w:tcW w:w="494" w:type="dxa"/>
            <w:shd w:val="clear" w:color="auto" w:fill="BFBFBF" w:themeFill="background1" w:themeFillShade="BF"/>
            <w:vAlign w:val="center"/>
          </w:tcPr>
          <w:p w14:paraId="22B875F4" w14:textId="77777777" w:rsidR="00766D93" w:rsidRDefault="00766D93" w:rsidP="002B3FF4">
            <w:pPr>
              <w:jc w:val="center"/>
            </w:pPr>
          </w:p>
        </w:tc>
        <w:tc>
          <w:tcPr>
            <w:tcW w:w="494" w:type="dxa"/>
            <w:shd w:val="clear" w:color="auto" w:fill="FFFFFF" w:themeFill="background1"/>
            <w:vAlign w:val="center"/>
          </w:tcPr>
          <w:p w14:paraId="1991D754" w14:textId="77777777" w:rsidR="00766D93" w:rsidRDefault="00766D93" w:rsidP="002B3FF4">
            <w:pPr>
              <w:jc w:val="center"/>
            </w:pPr>
          </w:p>
        </w:tc>
        <w:tc>
          <w:tcPr>
            <w:tcW w:w="494" w:type="dxa"/>
            <w:vAlign w:val="center"/>
          </w:tcPr>
          <w:p w14:paraId="0AFE6226" w14:textId="77777777" w:rsidR="00766D93" w:rsidRDefault="00766D93" w:rsidP="002B3FF4">
            <w:pPr>
              <w:jc w:val="center"/>
            </w:pPr>
          </w:p>
        </w:tc>
        <w:tc>
          <w:tcPr>
            <w:tcW w:w="494" w:type="dxa"/>
            <w:vAlign w:val="center"/>
          </w:tcPr>
          <w:p w14:paraId="5C07FADC" w14:textId="77777777" w:rsidR="00766D93" w:rsidRDefault="00766D93" w:rsidP="002B3FF4">
            <w:pPr>
              <w:jc w:val="center"/>
            </w:pPr>
          </w:p>
        </w:tc>
        <w:tc>
          <w:tcPr>
            <w:tcW w:w="494" w:type="dxa"/>
            <w:vAlign w:val="center"/>
          </w:tcPr>
          <w:p w14:paraId="392FA676" w14:textId="77777777" w:rsidR="00766D93" w:rsidRDefault="00766D93" w:rsidP="002B3FF4">
            <w:pPr>
              <w:jc w:val="center"/>
            </w:pPr>
          </w:p>
        </w:tc>
      </w:tr>
      <w:tr w:rsidR="00766D93" w14:paraId="60AFF09A" w14:textId="77777777" w:rsidTr="002B3FF4">
        <w:tc>
          <w:tcPr>
            <w:tcW w:w="2014" w:type="dxa"/>
            <w:vMerge/>
            <w:vAlign w:val="center"/>
          </w:tcPr>
          <w:p w14:paraId="6786FC0B" w14:textId="77777777" w:rsidR="00766D93" w:rsidRDefault="00766D93" w:rsidP="002B3FF4"/>
        </w:tc>
        <w:tc>
          <w:tcPr>
            <w:tcW w:w="2039" w:type="dxa"/>
            <w:vAlign w:val="center"/>
          </w:tcPr>
          <w:p w14:paraId="40800DC9" w14:textId="77777777" w:rsidR="00766D93" w:rsidRDefault="00766D93" w:rsidP="002B3FF4">
            <w:r>
              <w:t>Designing institutional and regulatory mechanism</w:t>
            </w:r>
          </w:p>
        </w:tc>
        <w:tc>
          <w:tcPr>
            <w:tcW w:w="1506" w:type="dxa"/>
            <w:vAlign w:val="center"/>
          </w:tcPr>
          <w:p w14:paraId="0B9D9F0E" w14:textId="77777777" w:rsidR="00766D93" w:rsidRDefault="00766D93" w:rsidP="002B3FF4">
            <w:r>
              <w:t>Team of experts</w:t>
            </w:r>
          </w:p>
        </w:tc>
        <w:tc>
          <w:tcPr>
            <w:tcW w:w="494" w:type="dxa"/>
            <w:vAlign w:val="center"/>
          </w:tcPr>
          <w:p w14:paraId="38EB970E" w14:textId="77777777" w:rsidR="00766D93" w:rsidRDefault="00766D93" w:rsidP="002B3FF4">
            <w:pPr>
              <w:jc w:val="center"/>
            </w:pPr>
          </w:p>
        </w:tc>
        <w:tc>
          <w:tcPr>
            <w:tcW w:w="494" w:type="dxa"/>
            <w:vAlign w:val="center"/>
          </w:tcPr>
          <w:p w14:paraId="410ECC0D" w14:textId="77777777" w:rsidR="00766D93" w:rsidRDefault="00766D93" w:rsidP="002B3FF4">
            <w:pPr>
              <w:jc w:val="center"/>
            </w:pPr>
          </w:p>
        </w:tc>
        <w:tc>
          <w:tcPr>
            <w:tcW w:w="494" w:type="dxa"/>
            <w:shd w:val="clear" w:color="auto" w:fill="BFBFBF" w:themeFill="background1" w:themeFillShade="BF"/>
            <w:vAlign w:val="center"/>
          </w:tcPr>
          <w:p w14:paraId="6FB6F200" w14:textId="77777777" w:rsidR="00766D93" w:rsidRDefault="00766D93" w:rsidP="002B3FF4">
            <w:pPr>
              <w:jc w:val="center"/>
            </w:pPr>
          </w:p>
        </w:tc>
        <w:tc>
          <w:tcPr>
            <w:tcW w:w="494" w:type="dxa"/>
            <w:vAlign w:val="center"/>
          </w:tcPr>
          <w:p w14:paraId="586EDDB0" w14:textId="77777777" w:rsidR="00766D93" w:rsidRDefault="00766D93" w:rsidP="002B3FF4">
            <w:pPr>
              <w:jc w:val="center"/>
            </w:pPr>
          </w:p>
        </w:tc>
        <w:tc>
          <w:tcPr>
            <w:tcW w:w="494" w:type="dxa"/>
            <w:vAlign w:val="center"/>
          </w:tcPr>
          <w:p w14:paraId="303B9429" w14:textId="77777777" w:rsidR="00766D93" w:rsidRDefault="00766D93" w:rsidP="002B3FF4">
            <w:pPr>
              <w:jc w:val="center"/>
            </w:pPr>
          </w:p>
        </w:tc>
        <w:tc>
          <w:tcPr>
            <w:tcW w:w="494" w:type="dxa"/>
            <w:vAlign w:val="center"/>
          </w:tcPr>
          <w:p w14:paraId="78AFBFF5" w14:textId="77777777" w:rsidR="00766D93" w:rsidRDefault="00766D93" w:rsidP="002B3FF4">
            <w:pPr>
              <w:jc w:val="center"/>
            </w:pPr>
          </w:p>
        </w:tc>
        <w:tc>
          <w:tcPr>
            <w:tcW w:w="494" w:type="dxa"/>
            <w:vAlign w:val="center"/>
          </w:tcPr>
          <w:p w14:paraId="09641CC2" w14:textId="77777777" w:rsidR="00766D93" w:rsidRDefault="00766D93" w:rsidP="002B3FF4">
            <w:pPr>
              <w:jc w:val="center"/>
            </w:pPr>
          </w:p>
        </w:tc>
      </w:tr>
      <w:tr w:rsidR="00766D93" w14:paraId="71D8D132" w14:textId="77777777" w:rsidTr="002B3FF4">
        <w:tc>
          <w:tcPr>
            <w:tcW w:w="2014" w:type="dxa"/>
            <w:vMerge/>
            <w:vAlign w:val="center"/>
          </w:tcPr>
          <w:p w14:paraId="58AE31A4" w14:textId="77777777" w:rsidR="00766D93" w:rsidRDefault="00766D93" w:rsidP="002B3FF4"/>
        </w:tc>
        <w:tc>
          <w:tcPr>
            <w:tcW w:w="2039" w:type="dxa"/>
            <w:vAlign w:val="center"/>
          </w:tcPr>
          <w:p w14:paraId="2DB3376C" w14:textId="77777777" w:rsidR="00766D93" w:rsidRDefault="00766D93" w:rsidP="002B3FF4">
            <w:r>
              <w:t>Validation and approval</w:t>
            </w:r>
          </w:p>
        </w:tc>
        <w:tc>
          <w:tcPr>
            <w:tcW w:w="1506" w:type="dxa"/>
            <w:vAlign w:val="center"/>
          </w:tcPr>
          <w:p w14:paraId="4F61F1B7" w14:textId="77777777" w:rsidR="00766D93" w:rsidRDefault="00766D93" w:rsidP="002B3FF4">
            <w:r>
              <w:t>MMDE</w:t>
            </w:r>
          </w:p>
          <w:p w14:paraId="7B82DE41" w14:textId="77777777" w:rsidR="00766D93" w:rsidRDefault="00766D93" w:rsidP="002B3FF4">
            <w:r>
              <w:t>MLGPC</w:t>
            </w:r>
          </w:p>
          <w:p w14:paraId="66956F94" w14:textId="77777777" w:rsidR="00766D93" w:rsidRDefault="00766D93" w:rsidP="002B3FF4">
            <w:r>
              <w:t>MF</w:t>
            </w:r>
          </w:p>
        </w:tc>
        <w:tc>
          <w:tcPr>
            <w:tcW w:w="494" w:type="dxa"/>
            <w:vAlign w:val="center"/>
          </w:tcPr>
          <w:p w14:paraId="0DE6664C" w14:textId="77777777" w:rsidR="00766D93" w:rsidRDefault="00766D93" w:rsidP="002B3FF4">
            <w:pPr>
              <w:jc w:val="center"/>
            </w:pPr>
          </w:p>
        </w:tc>
        <w:tc>
          <w:tcPr>
            <w:tcW w:w="494" w:type="dxa"/>
            <w:vAlign w:val="center"/>
          </w:tcPr>
          <w:p w14:paraId="5AEF29CE" w14:textId="77777777" w:rsidR="00766D93" w:rsidRDefault="00766D93" w:rsidP="002B3FF4">
            <w:pPr>
              <w:jc w:val="center"/>
            </w:pPr>
          </w:p>
        </w:tc>
        <w:tc>
          <w:tcPr>
            <w:tcW w:w="494" w:type="dxa"/>
            <w:shd w:val="clear" w:color="auto" w:fill="BFBFBF" w:themeFill="background1" w:themeFillShade="BF"/>
            <w:vAlign w:val="center"/>
          </w:tcPr>
          <w:p w14:paraId="2423A685" w14:textId="77777777" w:rsidR="00766D93" w:rsidRDefault="00766D93" w:rsidP="002B3FF4">
            <w:pPr>
              <w:jc w:val="center"/>
            </w:pPr>
          </w:p>
        </w:tc>
        <w:tc>
          <w:tcPr>
            <w:tcW w:w="494" w:type="dxa"/>
            <w:vAlign w:val="center"/>
          </w:tcPr>
          <w:p w14:paraId="06B7F843" w14:textId="77777777" w:rsidR="00766D93" w:rsidRDefault="00766D93" w:rsidP="002B3FF4">
            <w:pPr>
              <w:jc w:val="center"/>
            </w:pPr>
          </w:p>
        </w:tc>
        <w:tc>
          <w:tcPr>
            <w:tcW w:w="494" w:type="dxa"/>
            <w:vAlign w:val="center"/>
          </w:tcPr>
          <w:p w14:paraId="5ABBE1CE" w14:textId="77777777" w:rsidR="00766D93" w:rsidRDefault="00766D93" w:rsidP="002B3FF4">
            <w:pPr>
              <w:jc w:val="center"/>
            </w:pPr>
          </w:p>
        </w:tc>
        <w:tc>
          <w:tcPr>
            <w:tcW w:w="494" w:type="dxa"/>
            <w:vAlign w:val="center"/>
          </w:tcPr>
          <w:p w14:paraId="74D26FE7" w14:textId="77777777" w:rsidR="00766D93" w:rsidRDefault="00766D93" w:rsidP="002B3FF4">
            <w:pPr>
              <w:jc w:val="center"/>
            </w:pPr>
          </w:p>
        </w:tc>
        <w:tc>
          <w:tcPr>
            <w:tcW w:w="494" w:type="dxa"/>
            <w:vAlign w:val="center"/>
          </w:tcPr>
          <w:p w14:paraId="481BE97A" w14:textId="77777777" w:rsidR="00766D93" w:rsidRDefault="00766D93" w:rsidP="002B3FF4">
            <w:pPr>
              <w:jc w:val="center"/>
            </w:pPr>
          </w:p>
        </w:tc>
      </w:tr>
      <w:tr w:rsidR="00766D93" w14:paraId="3E786D3F" w14:textId="77777777" w:rsidTr="002B3FF4">
        <w:tc>
          <w:tcPr>
            <w:tcW w:w="2014" w:type="dxa"/>
            <w:vMerge w:val="restart"/>
            <w:vAlign w:val="center"/>
          </w:tcPr>
          <w:p w14:paraId="25DE703D" w14:textId="77777777" w:rsidR="00766D93" w:rsidRDefault="00766D93" w:rsidP="002B3FF4">
            <w:r>
              <w:t>Implementation</w:t>
            </w:r>
          </w:p>
        </w:tc>
        <w:tc>
          <w:tcPr>
            <w:tcW w:w="2039" w:type="dxa"/>
            <w:vAlign w:val="center"/>
          </w:tcPr>
          <w:p w14:paraId="61849E6A" w14:textId="77777777" w:rsidR="00766D93" w:rsidRDefault="00766D93" w:rsidP="002B3FF4">
            <w:r>
              <w:t>Training and other forms of capacity building</w:t>
            </w:r>
          </w:p>
        </w:tc>
        <w:tc>
          <w:tcPr>
            <w:tcW w:w="1506" w:type="dxa"/>
            <w:vAlign w:val="center"/>
          </w:tcPr>
          <w:p w14:paraId="37BE2293" w14:textId="77777777" w:rsidR="00766D93" w:rsidRDefault="00766D93" w:rsidP="002B3FF4">
            <w:r>
              <w:t>MMDE</w:t>
            </w:r>
          </w:p>
          <w:p w14:paraId="1441219E" w14:textId="77777777" w:rsidR="00766D93" w:rsidRDefault="00766D93" w:rsidP="002B3FF4">
            <w:r>
              <w:t>MLGPC</w:t>
            </w:r>
          </w:p>
          <w:p w14:paraId="21B3776D" w14:textId="77777777" w:rsidR="00766D93" w:rsidRDefault="00766D93" w:rsidP="002B3FF4">
            <w:r>
              <w:t>MF</w:t>
            </w:r>
          </w:p>
        </w:tc>
        <w:tc>
          <w:tcPr>
            <w:tcW w:w="494" w:type="dxa"/>
            <w:vAlign w:val="center"/>
          </w:tcPr>
          <w:p w14:paraId="7CF95FF1" w14:textId="77777777" w:rsidR="00766D93" w:rsidRDefault="00766D93" w:rsidP="002B3FF4">
            <w:pPr>
              <w:jc w:val="center"/>
            </w:pPr>
          </w:p>
        </w:tc>
        <w:tc>
          <w:tcPr>
            <w:tcW w:w="494" w:type="dxa"/>
            <w:vAlign w:val="center"/>
          </w:tcPr>
          <w:p w14:paraId="05E2AE78" w14:textId="77777777" w:rsidR="00766D93" w:rsidRDefault="00766D93" w:rsidP="002B3FF4">
            <w:pPr>
              <w:jc w:val="center"/>
            </w:pPr>
          </w:p>
        </w:tc>
        <w:tc>
          <w:tcPr>
            <w:tcW w:w="494" w:type="dxa"/>
            <w:shd w:val="clear" w:color="auto" w:fill="BFBFBF" w:themeFill="background1" w:themeFillShade="BF"/>
            <w:vAlign w:val="center"/>
          </w:tcPr>
          <w:p w14:paraId="644BE644" w14:textId="77777777" w:rsidR="00766D93" w:rsidRDefault="00766D93" w:rsidP="002B3FF4">
            <w:pPr>
              <w:jc w:val="center"/>
            </w:pPr>
          </w:p>
        </w:tc>
        <w:tc>
          <w:tcPr>
            <w:tcW w:w="494" w:type="dxa"/>
            <w:shd w:val="clear" w:color="auto" w:fill="BFBFBF" w:themeFill="background1" w:themeFillShade="BF"/>
            <w:vAlign w:val="center"/>
          </w:tcPr>
          <w:p w14:paraId="4ECDB324" w14:textId="77777777" w:rsidR="00766D93" w:rsidRDefault="00766D93" w:rsidP="002B3FF4">
            <w:pPr>
              <w:jc w:val="center"/>
            </w:pPr>
          </w:p>
        </w:tc>
        <w:tc>
          <w:tcPr>
            <w:tcW w:w="494" w:type="dxa"/>
            <w:vAlign w:val="center"/>
          </w:tcPr>
          <w:p w14:paraId="445E5042" w14:textId="77777777" w:rsidR="00766D93" w:rsidRDefault="00766D93" w:rsidP="002B3FF4">
            <w:pPr>
              <w:jc w:val="center"/>
            </w:pPr>
          </w:p>
        </w:tc>
        <w:tc>
          <w:tcPr>
            <w:tcW w:w="494" w:type="dxa"/>
            <w:vAlign w:val="center"/>
          </w:tcPr>
          <w:p w14:paraId="7139C831" w14:textId="77777777" w:rsidR="00766D93" w:rsidRDefault="00766D93" w:rsidP="002B3FF4">
            <w:pPr>
              <w:jc w:val="center"/>
            </w:pPr>
          </w:p>
        </w:tc>
        <w:tc>
          <w:tcPr>
            <w:tcW w:w="494" w:type="dxa"/>
            <w:vAlign w:val="center"/>
          </w:tcPr>
          <w:p w14:paraId="50C2064C" w14:textId="77777777" w:rsidR="00766D93" w:rsidRDefault="00766D93" w:rsidP="002B3FF4">
            <w:pPr>
              <w:jc w:val="center"/>
            </w:pPr>
          </w:p>
        </w:tc>
      </w:tr>
      <w:tr w:rsidR="00766D93" w14:paraId="2CE05396" w14:textId="77777777" w:rsidTr="002B3FF4">
        <w:tc>
          <w:tcPr>
            <w:tcW w:w="2014" w:type="dxa"/>
            <w:vMerge/>
            <w:vAlign w:val="center"/>
          </w:tcPr>
          <w:p w14:paraId="2D03E959" w14:textId="77777777" w:rsidR="00766D93" w:rsidRDefault="00766D93" w:rsidP="002B3FF4"/>
        </w:tc>
        <w:tc>
          <w:tcPr>
            <w:tcW w:w="2039" w:type="dxa"/>
            <w:vAlign w:val="center"/>
          </w:tcPr>
          <w:p w14:paraId="0A1BBE8C" w14:textId="77777777" w:rsidR="00766D93" w:rsidRDefault="00766D93" w:rsidP="002B3FF4">
            <w:r>
              <w:t>Implementation by individual government agencies</w:t>
            </w:r>
          </w:p>
        </w:tc>
        <w:tc>
          <w:tcPr>
            <w:tcW w:w="1506" w:type="dxa"/>
            <w:vAlign w:val="center"/>
          </w:tcPr>
          <w:p w14:paraId="6569B1B6" w14:textId="77777777" w:rsidR="00766D93" w:rsidRDefault="00766D93" w:rsidP="002B3FF4">
            <w:r>
              <w:t>Government agencies &amp; Local governments</w:t>
            </w:r>
          </w:p>
        </w:tc>
        <w:tc>
          <w:tcPr>
            <w:tcW w:w="494" w:type="dxa"/>
            <w:vAlign w:val="center"/>
          </w:tcPr>
          <w:p w14:paraId="22D37D71" w14:textId="77777777" w:rsidR="00766D93" w:rsidRDefault="00766D93" w:rsidP="002B3FF4">
            <w:pPr>
              <w:jc w:val="center"/>
            </w:pPr>
          </w:p>
        </w:tc>
        <w:tc>
          <w:tcPr>
            <w:tcW w:w="494" w:type="dxa"/>
            <w:vAlign w:val="center"/>
          </w:tcPr>
          <w:p w14:paraId="2680283A" w14:textId="77777777" w:rsidR="00766D93" w:rsidRDefault="00766D93" w:rsidP="002B3FF4">
            <w:pPr>
              <w:jc w:val="center"/>
            </w:pPr>
          </w:p>
        </w:tc>
        <w:tc>
          <w:tcPr>
            <w:tcW w:w="494" w:type="dxa"/>
            <w:shd w:val="clear" w:color="auto" w:fill="BFBFBF" w:themeFill="background1" w:themeFillShade="BF"/>
            <w:vAlign w:val="center"/>
          </w:tcPr>
          <w:p w14:paraId="1D93FA2F" w14:textId="77777777" w:rsidR="00766D93" w:rsidRDefault="00766D93" w:rsidP="002B3FF4">
            <w:pPr>
              <w:jc w:val="center"/>
            </w:pPr>
          </w:p>
        </w:tc>
        <w:tc>
          <w:tcPr>
            <w:tcW w:w="494" w:type="dxa"/>
            <w:shd w:val="clear" w:color="auto" w:fill="BFBFBF" w:themeFill="background1" w:themeFillShade="BF"/>
            <w:vAlign w:val="center"/>
          </w:tcPr>
          <w:p w14:paraId="50F1B0FE" w14:textId="77777777" w:rsidR="00766D93" w:rsidRDefault="00766D93" w:rsidP="002B3FF4">
            <w:pPr>
              <w:jc w:val="center"/>
            </w:pPr>
          </w:p>
        </w:tc>
        <w:tc>
          <w:tcPr>
            <w:tcW w:w="494" w:type="dxa"/>
            <w:vAlign w:val="center"/>
          </w:tcPr>
          <w:p w14:paraId="631FEAE5" w14:textId="77777777" w:rsidR="00766D93" w:rsidRDefault="00766D93" w:rsidP="002B3FF4">
            <w:pPr>
              <w:jc w:val="center"/>
            </w:pPr>
          </w:p>
        </w:tc>
        <w:tc>
          <w:tcPr>
            <w:tcW w:w="494" w:type="dxa"/>
            <w:vAlign w:val="center"/>
          </w:tcPr>
          <w:p w14:paraId="5A833F3D" w14:textId="77777777" w:rsidR="00766D93" w:rsidRDefault="00766D93" w:rsidP="002B3FF4">
            <w:pPr>
              <w:jc w:val="center"/>
            </w:pPr>
          </w:p>
        </w:tc>
        <w:tc>
          <w:tcPr>
            <w:tcW w:w="494" w:type="dxa"/>
            <w:vAlign w:val="center"/>
          </w:tcPr>
          <w:p w14:paraId="781DDE26" w14:textId="77777777" w:rsidR="00766D93" w:rsidRDefault="00766D93" w:rsidP="002B3FF4">
            <w:pPr>
              <w:jc w:val="center"/>
            </w:pPr>
          </w:p>
        </w:tc>
      </w:tr>
      <w:tr w:rsidR="00766D93" w14:paraId="7E52C0D7" w14:textId="77777777" w:rsidTr="002B3FF4">
        <w:tc>
          <w:tcPr>
            <w:tcW w:w="2014" w:type="dxa"/>
            <w:vMerge/>
            <w:vAlign w:val="center"/>
          </w:tcPr>
          <w:p w14:paraId="34F37E08" w14:textId="77777777" w:rsidR="00766D93" w:rsidRDefault="00766D93" w:rsidP="002B3FF4"/>
        </w:tc>
        <w:tc>
          <w:tcPr>
            <w:tcW w:w="2039" w:type="dxa"/>
            <w:vAlign w:val="center"/>
          </w:tcPr>
          <w:p w14:paraId="7C36B8E4" w14:textId="77777777" w:rsidR="00766D93" w:rsidRDefault="00766D93" w:rsidP="002B3FF4">
            <w:r>
              <w:t>Utilizing funds for approved environmental conservation projects</w:t>
            </w:r>
          </w:p>
        </w:tc>
        <w:tc>
          <w:tcPr>
            <w:tcW w:w="1506" w:type="dxa"/>
            <w:vAlign w:val="center"/>
          </w:tcPr>
          <w:p w14:paraId="5A6007AD" w14:textId="77777777" w:rsidR="00766D93" w:rsidRDefault="00766D93" w:rsidP="002B3FF4">
            <w:r w:rsidRPr="00FF29DE">
              <w:t>Government agencies &amp; Local governments</w:t>
            </w:r>
          </w:p>
        </w:tc>
        <w:tc>
          <w:tcPr>
            <w:tcW w:w="494" w:type="dxa"/>
            <w:vAlign w:val="center"/>
          </w:tcPr>
          <w:p w14:paraId="311353A3" w14:textId="77777777" w:rsidR="00766D93" w:rsidRDefault="00766D93" w:rsidP="002B3FF4">
            <w:pPr>
              <w:jc w:val="center"/>
            </w:pPr>
          </w:p>
        </w:tc>
        <w:tc>
          <w:tcPr>
            <w:tcW w:w="494" w:type="dxa"/>
            <w:vAlign w:val="center"/>
          </w:tcPr>
          <w:p w14:paraId="4D7C5B3F" w14:textId="77777777" w:rsidR="00766D93" w:rsidRDefault="00766D93" w:rsidP="002B3FF4">
            <w:pPr>
              <w:jc w:val="center"/>
            </w:pPr>
          </w:p>
        </w:tc>
        <w:tc>
          <w:tcPr>
            <w:tcW w:w="494" w:type="dxa"/>
            <w:vAlign w:val="center"/>
          </w:tcPr>
          <w:p w14:paraId="36C56138" w14:textId="77777777" w:rsidR="00766D93" w:rsidRDefault="00766D93" w:rsidP="002B3FF4">
            <w:pPr>
              <w:jc w:val="center"/>
            </w:pPr>
          </w:p>
        </w:tc>
        <w:tc>
          <w:tcPr>
            <w:tcW w:w="494" w:type="dxa"/>
            <w:shd w:val="clear" w:color="auto" w:fill="BFBFBF" w:themeFill="background1" w:themeFillShade="BF"/>
            <w:vAlign w:val="center"/>
          </w:tcPr>
          <w:p w14:paraId="4D2F794F" w14:textId="77777777" w:rsidR="00766D93" w:rsidRDefault="00766D93" w:rsidP="002B3FF4">
            <w:pPr>
              <w:jc w:val="center"/>
            </w:pPr>
          </w:p>
        </w:tc>
        <w:tc>
          <w:tcPr>
            <w:tcW w:w="494" w:type="dxa"/>
            <w:vAlign w:val="center"/>
          </w:tcPr>
          <w:p w14:paraId="314DAEFB" w14:textId="77777777" w:rsidR="00766D93" w:rsidRDefault="00766D93" w:rsidP="002B3FF4">
            <w:pPr>
              <w:jc w:val="center"/>
            </w:pPr>
          </w:p>
        </w:tc>
        <w:tc>
          <w:tcPr>
            <w:tcW w:w="494" w:type="dxa"/>
            <w:vAlign w:val="center"/>
          </w:tcPr>
          <w:p w14:paraId="0C3EA083" w14:textId="77777777" w:rsidR="00766D93" w:rsidRDefault="00766D93" w:rsidP="002B3FF4">
            <w:pPr>
              <w:jc w:val="center"/>
            </w:pPr>
          </w:p>
        </w:tc>
        <w:tc>
          <w:tcPr>
            <w:tcW w:w="494" w:type="dxa"/>
            <w:vAlign w:val="center"/>
          </w:tcPr>
          <w:p w14:paraId="59A08673" w14:textId="77777777" w:rsidR="00766D93" w:rsidRDefault="00766D93" w:rsidP="002B3FF4">
            <w:pPr>
              <w:jc w:val="center"/>
            </w:pPr>
          </w:p>
        </w:tc>
      </w:tr>
      <w:tr w:rsidR="00766D93" w14:paraId="696DBEEC" w14:textId="77777777" w:rsidTr="002B3FF4">
        <w:tc>
          <w:tcPr>
            <w:tcW w:w="2014" w:type="dxa"/>
            <w:vMerge/>
            <w:vAlign w:val="center"/>
          </w:tcPr>
          <w:p w14:paraId="47BCFADB" w14:textId="77777777" w:rsidR="00766D93" w:rsidRDefault="00766D93" w:rsidP="002B3FF4"/>
        </w:tc>
        <w:tc>
          <w:tcPr>
            <w:tcW w:w="2039" w:type="dxa"/>
            <w:vAlign w:val="center"/>
          </w:tcPr>
          <w:p w14:paraId="37F07C0D" w14:textId="77777777" w:rsidR="00766D93" w:rsidRDefault="00766D93" w:rsidP="002B3FF4">
            <w:r>
              <w:t>Monitoring and evaluation</w:t>
            </w:r>
          </w:p>
        </w:tc>
        <w:tc>
          <w:tcPr>
            <w:tcW w:w="1506" w:type="dxa"/>
            <w:vAlign w:val="center"/>
          </w:tcPr>
          <w:p w14:paraId="1FD3C60F" w14:textId="77777777" w:rsidR="00766D93" w:rsidRDefault="00766D93" w:rsidP="002B3FF4"/>
        </w:tc>
        <w:tc>
          <w:tcPr>
            <w:tcW w:w="494" w:type="dxa"/>
            <w:vAlign w:val="center"/>
          </w:tcPr>
          <w:p w14:paraId="1A61DDEE" w14:textId="77777777" w:rsidR="00766D93" w:rsidRDefault="00766D93" w:rsidP="002B3FF4">
            <w:pPr>
              <w:jc w:val="center"/>
            </w:pPr>
          </w:p>
        </w:tc>
        <w:tc>
          <w:tcPr>
            <w:tcW w:w="494" w:type="dxa"/>
            <w:vAlign w:val="center"/>
          </w:tcPr>
          <w:p w14:paraId="378BBAF2" w14:textId="77777777" w:rsidR="00766D93" w:rsidRDefault="00766D93" w:rsidP="002B3FF4">
            <w:pPr>
              <w:jc w:val="center"/>
            </w:pPr>
          </w:p>
        </w:tc>
        <w:tc>
          <w:tcPr>
            <w:tcW w:w="494" w:type="dxa"/>
            <w:vAlign w:val="center"/>
          </w:tcPr>
          <w:p w14:paraId="068F9455" w14:textId="77777777" w:rsidR="00766D93" w:rsidRDefault="00766D93" w:rsidP="002B3FF4">
            <w:pPr>
              <w:jc w:val="center"/>
            </w:pPr>
          </w:p>
        </w:tc>
        <w:tc>
          <w:tcPr>
            <w:tcW w:w="494" w:type="dxa"/>
            <w:shd w:val="clear" w:color="auto" w:fill="BFBFBF" w:themeFill="background1" w:themeFillShade="BF"/>
            <w:vAlign w:val="center"/>
          </w:tcPr>
          <w:p w14:paraId="4D3A401E" w14:textId="77777777" w:rsidR="00766D93" w:rsidRDefault="00766D93" w:rsidP="002B3FF4">
            <w:pPr>
              <w:jc w:val="center"/>
            </w:pPr>
          </w:p>
        </w:tc>
        <w:tc>
          <w:tcPr>
            <w:tcW w:w="494" w:type="dxa"/>
            <w:vAlign w:val="center"/>
          </w:tcPr>
          <w:p w14:paraId="4EBAA46D" w14:textId="77777777" w:rsidR="00766D93" w:rsidRDefault="00766D93" w:rsidP="002B3FF4">
            <w:pPr>
              <w:jc w:val="center"/>
            </w:pPr>
          </w:p>
        </w:tc>
        <w:tc>
          <w:tcPr>
            <w:tcW w:w="494" w:type="dxa"/>
            <w:vAlign w:val="center"/>
          </w:tcPr>
          <w:p w14:paraId="6942C828" w14:textId="77777777" w:rsidR="00766D93" w:rsidRDefault="00766D93" w:rsidP="002B3FF4">
            <w:pPr>
              <w:jc w:val="center"/>
            </w:pPr>
          </w:p>
        </w:tc>
        <w:tc>
          <w:tcPr>
            <w:tcW w:w="494" w:type="dxa"/>
            <w:vAlign w:val="center"/>
          </w:tcPr>
          <w:p w14:paraId="42058936" w14:textId="77777777" w:rsidR="00766D93" w:rsidRDefault="00766D93" w:rsidP="002B3FF4">
            <w:pPr>
              <w:jc w:val="center"/>
            </w:pPr>
          </w:p>
        </w:tc>
      </w:tr>
      <w:tr w:rsidR="00766D93" w14:paraId="6EFB9ACC" w14:textId="77777777" w:rsidTr="002B3FF4">
        <w:tc>
          <w:tcPr>
            <w:tcW w:w="2014" w:type="dxa"/>
            <w:vAlign w:val="center"/>
          </w:tcPr>
          <w:p w14:paraId="32424990" w14:textId="77777777" w:rsidR="00766D93" w:rsidRDefault="00766D93" w:rsidP="002B3FF4">
            <w:r>
              <w:t>Budget</w:t>
            </w:r>
          </w:p>
        </w:tc>
        <w:tc>
          <w:tcPr>
            <w:tcW w:w="7003" w:type="dxa"/>
            <w:gridSpan w:val="9"/>
            <w:vAlign w:val="center"/>
          </w:tcPr>
          <w:p w14:paraId="340CED62" w14:textId="77777777" w:rsidR="00766D93" w:rsidRDefault="00766D93" w:rsidP="002B3FF4">
            <w:r>
              <w:t>US$ 50,000</w:t>
            </w:r>
          </w:p>
        </w:tc>
      </w:tr>
      <w:tr w:rsidR="00766D93" w14:paraId="76BABB1F" w14:textId="77777777" w:rsidTr="002B3FF4">
        <w:tc>
          <w:tcPr>
            <w:tcW w:w="2014" w:type="dxa"/>
            <w:vAlign w:val="center"/>
          </w:tcPr>
          <w:p w14:paraId="456E67EA" w14:textId="77777777" w:rsidR="00766D93" w:rsidRDefault="00766D93" w:rsidP="002B3FF4">
            <w:r>
              <w:t>Financial result</w:t>
            </w:r>
          </w:p>
        </w:tc>
        <w:tc>
          <w:tcPr>
            <w:tcW w:w="7003" w:type="dxa"/>
            <w:gridSpan w:val="9"/>
            <w:vAlign w:val="center"/>
          </w:tcPr>
          <w:p w14:paraId="379553C0" w14:textId="77777777" w:rsidR="00766D93" w:rsidRDefault="00766D93" w:rsidP="002B3FF4">
            <w:r>
              <w:t>US$ 1 million per year; US$ 4 million during 2021-2024</w:t>
            </w:r>
          </w:p>
        </w:tc>
      </w:tr>
    </w:tbl>
    <w:p w14:paraId="74A99450" w14:textId="77777777" w:rsidR="00766D93" w:rsidRDefault="00766D93" w:rsidP="00BB5D98">
      <w:pPr>
        <w:jc w:val="both"/>
        <w:sectPr w:rsidR="00766D93" w:rsidSect="00E40C62">
          <w:pgSz w:w="11907" w:h="16839" w:code="9"/>
          <w:pgMar w:top="1440" w:right="1440" w:bottom="1440" w:left="1440" w:header="720" w:footer="720" w:gutter="0"/>
          <w:pgNumType w:start="1"/>
          <w:cols w:space="720"/>
          <w:titlePg/>
          <w:docGrid w:linePitch="360"/>
        </w:sectPr>
      </w:pPr>
    </w:p>
    <w:p w14:paraId="28ABAB3D" w14:textId="77777777" w:rsidR="00466DD7" w:rsidRDefault="00466DD7" w:rsidP="00BB5D98">
      <w:pPr>
        <w:jc w:val="both"/>
      </w:pPr>
    </w:p>
    <w:p w14:paraId="5CD50578" w14:textId="77777777" w:rsidR="007B0C63" w:rsidRDefault="007B0C63" w:rsidP="008D23E4">
      <w:pPr>
        <w:pStyle w:val="Heading2"/>
      </w:pPr>
      <w:bookmarkStart w:id="21" w:name="_Toc526876311"/>
      <w:r>
        <w:t>4</w:t>
      </w:r>
      <w:r w:rsidRPr="007B0C63">
        <w:t xml:space="preserve">. </w:t>
      </w:r>
      <w:r>
        <w:t>Summary of the Action Plan</w:t>
      </w:r>
      <w:bookmarkEnd w:id="21"/>
    </w:p>
    <w:p w14:paraId="733FC347" w14:textId="77777777" w:rsidR="007B0C63" w:rsidRDefault="007B0C63" w:rsidP="007B0C63"/>
    <w:tbl>
      <w:tblPr>
        <w:tblStyle w:val="TableGrid"/>
        <w:tblW w:w="0" w:type="auto"/>
        <w:tblLook w:val="04A0" w:firstRow="1" w:lastRow="0" w:firstColumn="1" w:lastColumn="0" w:noHBand="0" w:noVBand="1"/>
      </w:tblPr>
      <w:tblGrid>
        <w:gridCol w:w="538"/>
        <w:gridCol w:w="1675"/>
        <w:gridCol w:w="3182"/>
        <w:gridCol w:w="4680"/>
        <w:gridCol w:w="1260"/>
        <w:gridCol w:w="1260"/>
        <w:gridCol w:w="1308"/>
      </w:tblGrid>
      <w:tr w:rsidR="0095141E" w:rsidRPr="000109B2" w14:paraId="0DD9193E" w14:textId="77777777" w:rsidTr="00C774E6">
        <w:tc>
          <w:tcPr>
            <w:tcW w:w="538" w:type="dxa"/>
            <w:vAlign w:val="center"/>
          </w:tcPr>
          <w:p w14:paraId="0A4AAEB5" w14:textId="77777777" w:rsidR="0095141E" w:rsidRPr="000109B2" w:rsidRDefault="0095141E" w:rsidP="00C774E6">
            <w:r w:rsidRPr="000109B2">
              <w:t>No.</w:t>
            </w:r>
          </w:p>
        </w:tc>
        <w:tc>
          <w:tcPr>
            <w:tcW w:w="1675" w:type="dxa"/>
            <w:vAlign w:val="center"/>
          </w:tcPr>
          <w:p w14:paraId="6E1D0E8C" w14:textId="77777777" w:rsidR="0095141E" w:rsidRPr="000109B2" w:rsidRDefault="0095141E" w:rsidP="00C774E6">
            <w:r w:rsidRPr="000109B2">
              <w:t>Finance solution</w:t>
            </w:r>
          </w:p>
        </w:tc>
        <w:tc>
          <w:tcPr>
            <w:tcW w:w="3182" w:type="dxa"/>
            <w:vAlign w:val="center"/>
          </w:tcPr>
          <w:p w14:paraId="6BC404EC" w14:textId="77777777" w:rsidR="0095141E" w:rsidRPr="000109B2" w:rsidRDefault="0095141E" w:rsidP="00C774E6">
            <w:r w:rsidRPr="000109B2">
              <w:t>Objective</w:t>
            </w:r>
          </w:p>
        </w:tc>
        <w:tc>
          <w:tcPr>
            <w:tcW w:w="4680" w:type="dxa"/>
            <w:vAlign w:val="center"/>
          </w:tcPr>
          <w:p w14:paraId="59FDB982" w14:textId="77777777" w:rsidR="0095141E" w:rsidRPr="000109B2" w:rsidRDefault="0095141E" w:rsidP="00C774E6">
            <w:r w:rsidRPr="000109B2">
              <w:t>Group activities</w:t>
            </w:r>
          </w:p>
        </w:tc>
        <w:tc>
          <w:tcPr>
            <w:tcW w:w="1260" w:type="dxa"/>
            <w:vAlign w:val="center"/>
          </w:tcPr>
          <w:p w14:paraId="75C2A017" w14:textId="77777777" w:rsidR="0095141E" w:rsidRPr="000109B2" w:rsidRDefault="0095141E" w:rsidP="00C774E6">
            <w:r w:rsidRPr="000109B2">
              <w:t>Time framework</w:t>
            </w:r>
          </w:p>
        </w:tc>
        <w:tc>
          <w:tcPr>
            <w:tcW w:w="1260" w:type="dxa"/>
            <w:vAlign w:val="center"/>
          </w:tcPr>
          <w:p w14:paraId="468499D3" w14:textId="77777777" w:rsidR="0095141E" w:rsidRPr="000109B2" w:rsidRDefault="0095141E" w:rsidP="00C774E6">
            <w:r w:rsidRPr="000109B2">
              <w:t>Indicative budget (US$)</w:t>
            </w:r>
          </w:p>
        </w:tc>
        <w:tc>
          <w:tcPr>
            <w:tcW w:w="1308" w:type="dxa"/>
            <w:vAlign w:val="center"/>
          </w:tcPr>
          <w:p w14:paraId="680E1D13" w14:textId="77777777" w:rsidR="0095141E" w:rsidRPr="000109B2" w:rsidRDefault="0095141E" w:rsidP="00C774E6">
            <w:r w:rsidRPr="000109B2">
              <w:t>Financial result:</w:t>
            </w:r>
          </w:p>
          <w:p w14:paraId="007E518D" w14:textId="77777777" w:rsidR="0095141E" w:rsidRPr="000109B2" w:rsidRDefault="0095141E" w:rsidP="00C774E6">
            <w:r w:rsidRPr="000109B2">
              <w:t>2018-2024</w:t>
            </w:r>
          </w:p>
          <w:p w14:paraId="090B3411" w14:textId="77777777" w:rsidR="0095141E" w:rsidRPr="000109B2" w:rsidRDefault="0095141E" w:rsidP="00C774E6">
            <w:r w:rsidRPr="000109B2">
              <w:t>(US$)</w:t>
            </w:r>
          </w:p>
        </w:tc>
      </w:tr>
      <w:tr w:rsidR="0095141E" w14:paraId="4F848F0C" w14:textId="77777777" w:rsidTr="00C774E6">
        <w:tc>
          <w:tcPr>
            <w:tcW w:w="538" w:type="dxa"/>
            <w:vMerge w:val="restart"/>
            <w:vAlign w:val="center"/>
          </w:tcPr>
          <w:p w14:paraId="5CAA0CD1" w14:textId="77777777" w:rsidR="0095141E" w:rsidRDefault="0095141E" w:rsidP="00C774E6">
            <w:r>
              <w:t>1</w:t>
            </w:r>
          </w:p>
        </w:tc>
        <w:tc>
          <w:tcPr>
            <w:tcW w:w="1675" w:type="dxa"/>
            <w:vMerge w:val="restart"/>
            <w:vAlign w:val="center"/>
          </w:tcPr>
          <w:p w14:paraId="02BA9358" w14:textId="77777777" w:rsidR="0095141E" w:rsidRPr="003C4443" w:rsidRDefault="0095141E" w:rsidP="00C774E6">
            <w:r w:rsidRPr="003C4443">
              <w:t>Sustainable Standards and Certification (SST): Sustainable Tourism Certification scheme</w:t>
            </w:r>
          </w:p>
        </w:tc>
        <w:tc>
          <w:tcPr>
            <w:tcW w:w="3182" w:type="dxa"/>
            <w:vMerge w:val="restart"/>
            <w:vAlign w:val="center"/>
          </w:tcPr>
          <w:p w14:paraId="4AB357DB" w14:textId="77777777" w:rsidR="0095141E" w:rsidRDefault="0095141E" w:rsidP="00C774E6">
            <w:r w:rsidRPr="00E14BDA">
              <w:t xml:space="preserve">To encourage </w:t>
            </w:r>
            <w:r w:rsidRPr="00D82548">
              <w:rPr>
                <w:b/>
              </w:rPr>
              <w:t>accommodation service providers</w:t>
            </w:r>
            <w:r w:rsidRPr="00E14BDA">
              <w:t xml:space="preserve"> within the tourism sector to adopt sustainable tourism norms and standards which would have a positive impact on biodiversity</w:t>
            </w:r>
          </w:p>
        </w:tc>
        <w:tc>
          <w:tcPr>
            <w:tcW w:w="4680" w:type="dxa"/>
            <w:vAlign w:val="center"/>
          </w:tcPr>
          <w:p w14:paraId="5D3E51F0" w14:textId="77777777" w:rsidR="0095141E" w:rsidRPr="00DB10C3" w:rsidRDefault="0095141E" w:rsidP="00C774E6">
            <w:r>
              <w:t>PHASE 1</w:t>
            </w:r>
          </w:p>
        </w:tc>
        <w:tc>
          <w:tcPr>
            <w:tcW w:w="1260" w:type="dxa"/>
            <w:vMerge w:val="restart"/>
            <w:vAlign w:val="center"/>
          </w:tcPr>
          <w:p w14:paraId="3ADA4BD0" w14:textId="77777777" w:rsidR="0095141E" w:rsidRDefault="0095141E" w:rsidP="00C774E6">
            <w:r>
              <w:t>2018</w:t>
            </w:r>
          </w:p>
        </w:tc>
        <w:tc>
          <w:tcPr>
            <w:tcW w:w="1260" w:type="dxa"/>
            <w:vMerge w:val="restart"/>
            <w:vAlign w:val="center"/>
          </w:tcPr>
          <w:p w14:paraId="639B4C6B" w14:textId="77777777" w:rsidR="0095141E" w:rsidRDefault="0095141E" w:rsidP="00C774E6">
            <w:r>
              <w:t>61,700</w:t>
            </w:r>
          </w:p>
        </w:tc>
        <w:tc>
          <w:tcPr>
            <w:tcW w:w="1308" w:type="dxa"/>
            <w:vMerge w:val="restart"/>
            <w:vAlign w:val="center"/>
          </w:tcPr>
          <w:p w14:paraId="57CF8740" w14:textId="77777777" w:rsidR="0095141E" w:rsidRDefault="0095141E" w:rsidP="00C774E6">
            <w:r>
              <w:t>45 million</w:t>
            </w:r>
          </w:p>
        </w:tc>
      </w:tr>
      <w:tr w:rsidR="0095141E" w14:paraId="4892C29E" w14:textId="77777777" w:rsidTr="00C774E6">
        <w:tc>
          <w:tcPr>
            <w:tcW w:w="538" w:type="dxa"/>
            <w:vMerge/>
            <w:vAlign w:val="center"/>
          </w:tcPr>
          <w:p w14:paraId="2B708F4F" w14:textId="77777777" w:rsidR="0095141E" w:rsidRDefault="0095141E" w:rsidP="00C774E6"/>
        </w:tc>
        <w:tc>
          <w:tcPr>
            <w:tcW w:w="1675" w:type="dxa"/>
            <w:vMerge/>
            <w:vAlign w:val="center"/>
          </w:tcPr>
          <w:p w14:paraId="18369C46" w14:textId="77777777" w:rsidR="0095141E" w:rsidRDefault="0095141E" w:rsidP="00C774E6"/>
        </w:tc>
        <w:tc>
          <w:tcPr>
            <w:tcW w:w="3182" w:type="dxa"/>
            <w:vMerge/>
            <w:vAlign w:val="center"/>
          </w:tcPr>
          <w:p w14:paraId="0215E35A" w14:textId="77777777" w:rsidR="0095141E" w:rsidRPr="00EC187A" w:rsidRDefault="0095141E" w:rsidP="00C774E6"/>
        </w:tc>
        <w:tc>
          <w:tcPr>
            <w:tcW w:w="4680" w:type="dxa"/>
            <w:vAlign w:val="center"/>
          </w:tcPr>
          <w:p w14:paraId="1CBFB6D5" w14:textId="77777777" w:rsidR="0095141E" w:rsidRDefault="0095141E" w:rsidP="0095141E">
            <w:pPr>
              <w:pStyle w:val="ListParagraph"/>
              <w:numPr>
                <w:ilvl w:val="0"/>
                <w:numId w:val="11"/>
              </w:numPr>
              <w:ind w:left="342" w:hanging="270"/>
            </w:pPr>
            <w:r>
              <w:t>Developing certification criteria</w:t>
            </w:r>
          </w:p>
          <w:p w14:paraId="01D5D9A2" w14:textId="77777777" w:rsidR="0095141E" w:rsidRDefault="0095141E" w:rsidP="0095141E">
            <w:pPr>
              <w:pStyle w:val="ListParagraph"/>
              <w:numPr>
                <w:ilvl w:val="0"/>
                <w:numId w:val="11"/>
              </w:numPr>
              <w:ind w:left="342" w:hanging="270"/>
            </w:pPr>
            <w:r>
              <w:t>Validation</w:t>
            </w:r>
          </w:p>
          <w:p w14:paraId="040AD494" w14:textId="77777777" w:rsidR="0095141E" w:rsidRDefault="0095141E" w:rsidP="0095141E">
            <w:pPr>
              <w:pStyle w:val="ListParagraph"/>
              <w:numPr>
                <w:ilvl w:val="0"/>
                <w:numId w:val="11"/>
              </w:numPr>
              <w:ind w:left="342" w:hanging="270"/>
            </w:pPr>
            <w:r>
              <w:t>Government approval</w:t>
            </w:r>
          </w:p>
          <w:p w14:paraId="2E89D223" w14:textId="77777777" w:rsidR="0095141E" w:rsidRPr="00DB10C3" w:rsidRDefault="0095141E" w:rsidP="0095141E">
            <w:pPr>
              <w:pStyle w:val="ListParagraph"/>
              <w:numPr>
                <w:ilvl w:val="0"/>
                <w:numId w:val="11"/>
              </w:numPr>
              <w:ind w:left="342" w:hanging="270"/>
            </w:pPr>
            <w:r>
              <w:t>Training and awareness programmes</w:t>
            </w:r>
          </w:p>
        </w:tc>
        <w:tc>
          <w:tcPr>
            <w:tcW w:w="1260" w:type="dxa"/>
            <w:vMerge/>
            <w:vAlign w:val="center"/>
          </w:tcPr>
          <w:p w14:paraId="784F652A" w14:textId="77777777" w:rsidR="0095141E" w:rsidRDefault="0095141E" w:rsidP="00C774E6"/>
        </w:tc>
        <w:tc>
          <w:tcPr>
            <w:tcW w:w="1260" w:type="dxa"/>
            <w:vMerge/>
            <w:vAlign w:val="center"/>
          </w:tcPr>
          <w:p w14:paraId="18E8F2C2" w14:textId="77777777" w:rsidR="0095141E" w:rsidRDefault="0095141E" w:rsidP="00C774E6"/>
        </w:tc>
        <w:tc>
          <w:tcPr>
            <w:tcW w:w="1308" w:type="dxa"/>
            <w:vMerge/>
            <w:vAlign w:val="center"/>
          </w:tcPr>
          <w:p w14:paraId="3BB5CD53" w14:textId="77777777" w:rsidR="0095141E" w:rsidRDefault="0095141E" w:rsidP="00C774E6"/>
        </w:tc>
      </w:tr>
      <w:tr w:rsidR="0095141E" w14:paraId="7191AA82" w14:textId="77777777" w:rsidTr="00C774E6">
        <w:tc>
          <w:tcPr>
            <w:tcW w:w="538" w:type="dxa"/>
            <w:vMerge/>
            <w:vAlign w:val="center"/>
          </w:tcPr>
          <w:p w14:paraId="4140FC98" w14:textId="77777777" w:rsidR="0095141E" w:rsidRDefault="0095141E" w:rsidP="00C774E6"/>
        </w:tc>
        <w:tc>
          <w:tcPr>
            <w:tcW w:w="1675" w:type="dxa"/>
            <w:vMerge/>
            <w:vAlign w:val="center"/>
          </w:tcPr>
          <w:p w14:paraId="75271AD9" w14:textId="77777777" w:rsidR="0095141E" w:rsidRDefault="0095141E" w:rsidP="00C774E6"/>
        </w:tc>
        <w:tc>
          <w:tcPr>
            <w:tcW w:w="3182" w:type="dxa"/>
            <w:vMerge w:val="restart"/>
            <w:vAlign w:val="center"/>
          </w:tcPr>
          <w:p w14:paraId="783DE98B" w14:textId="77777777" w:rsidR="0095141E" w:rsidRDefault="0095141E" w:rsidP="00C774E6">
            <w:r w:rsidRPr="00D82548">
              <w:t xml:space="preserve">To encourage </w:t>
            </w:r>
            <w:r w:rsidRPr="00D82548">
              <w:rPr>
                <w:b/>
              </w:rPr>
              <w:t>all tourism sector service providers</w:t>
            </w:r>
            <w:r w:rsidRPr="00D82548">
              <w:t xml:space="preserve"> within the tourism sector to adopt sustainable tourism norms and standards which would have a positive impact on biodiversity</w:t>
            </w:r>
          </w:p>
        </w:tc>
        <w:tc>
          <w:tcPr>
            <w:tcW w:w="4680" w:type="dxa"/>
            <w:vAlign w:val="center"/>
          </w:tcPr>
          <w:p w14:paraId="7A357D4B" w14:textId="77777777" w:rsidR="0095141E" w:rsidRDefault="0095141E" w:rsidP="00C774E6">
            <w:r>
              <w:t>PHASE 2</w:t>
            </w:r>
          </w:p>
        </w:tc>
        <w:tc>
          <w:tcPr>
            <w:tcW w:w="1260" w:type="dxa"/>
            <w:vMerge w:val="restart"/>
            <w:vAlign w:val="center"/>
          </w:tcPr>
          <w:p w14:paraId="71149390" w14:textId="77777777" w:rsidR="0095141E" w:rsidRDefault="0095141E" w:rsidP="00C774E6">
            <w:r>
              <w:t>2019-2022</w:t>
            </w:r>
          </w:p>
        </w:tc>
        <w:tc>
          <w:tcPr>
            <w:tcW w:w="1260" w:type="dxa"/>
            <w:vMerge w:val="restart"/>
            <w:vAlign w:val="center"/>
          </w:tcPr>
          <w:p w14:paraId="3D6DFC1D" w14:textId="77777777" w:rsidR="0095141E" w:rsidRDefault="0095141E" w:rsidP="00C774E6">
            <w:r>
              <w:t>58,300</w:t>
            </w:r>
          </w:p>
        </w:tc>
        <w:tc>
          <w:tcPr>
            <w:tcW w:w="1308" w:type="dxa"/>
            <w:vMerge w:val="restart"/>
            <w:vAlign w:val="center"/>
          </w:tcPr>
          <w:p w14:paraId="3F6DC7AA" w14:textId="77777777" w:rsidR="0095141E" w:rsidRDefault="0095141E" w:rsidP="00C774E6">
            <w:r>
              <w:t>33 million</w:t>
            </w:r>
          </w:p>
        </w:tc>
      </w:tr>
      <w:tr w:rsidR="0095141E" w14:paraId="6E103199" w14:textId="77777777" w:rsidTr="00C774E6">
        <w:tc>
          <w:tcPr>
            <w:tcW w:w="538" w:type="dxa"/>
            <w:vMerge/>
            <w:vAlign w:val="center"/>
          </w:tcPr>
          <w:p w14:paraId="7C4730B0" w14:textId="77777777" w:rsidR="0095141E" w:rsidRDefault="0095141E" w:rsidP="00C774E6"/>
        </w:tc>
        <w:tc>
          <w:tcPr>
            <w:tcW w:w="1675" w:type="dxa"/>
            <w:vMerge/>
            <w:vAlign w:val="center"/>
          </w:tcPr>
          <w:p w14:paraId="5223CCB1" w14:textId="77777777" w:rsidR="0095141E" w:rsidRDefault="0095141E" w:rsidP="00C774E6"/>
        </w:tc>
        <w:tc>
          <w:tcPr>
            <w:tcW w:w="3182" w:type="dxa"/>
            <w:vMerge/>
            <w:vAlign w:val="center"/>
          </w:tcPr>
          <w:p w14:paraId="42708CC6" w14:textId="77777777" w:rsidR="0095141E" w:rsidRPr="00EC187A" w:rsidRDefault="0095141E" w:rsidP="00C774E6"/>
        </w:tc>
        <w:tc>
          <w:tcPr>
            <w:tcW w:w="4680" w:type="dxa"/>
            <w:vAlign w:val="center"/>
          </w:tcPr>
          <w:p w14:paraId="72D56609" w14:textId="77777777" w:rsidR="0095141E" w:rsidRDefault="0095141E" w:rsidP="0095141E">
            <w:pPr>
              <w:pStyle w:val="ListParagraph"/>
              <w:numPr>
                <w:ilvl w:val="0"/>
                <w:numId w:val="12"/>
              </w:numPr>
              <w:ind w:left="342" w:hanging="270"/>
            </w:pPr>
            <w:r>
              <w:t>Application, assessment and certification</w:t>
            </w:r>
          </w:p>
          <w:p w14:paraId="7FB86CDD" w14:textId="77777777" w:rsidR="0095141E" w:rsidRDefault="0095141E" w:rsidP="0095141E">
            <w:pPr>
              <w:pStyle w:val="ListParagraph"/>
              <w:numPr>
                <w:ilvl w:val="0"/>
                <w:numId w:val="12"/>
              </w:numPr>
              <w:ind w:left="342" w:hanging="270"/>
            </w:pPr>
            <w:r>
              <w:t>Monitoring and evaluation</w:t>
            </w:r>
          </w:p>
          <w:p w14:paraId="61355564" w14:textId="77777777" w:rsidR="0095141E" w:rsidRDefault="0095141E" w:rsidP="0095141E">
            <w:pPr>
              <w:pStyle w:val="ListParagraph"/>
              <w:numPr>
                <w:ilvl w:val="0"/>
                <w:numId w:val="12"/>
              </w:numPr>
              <w:ind w:left="342" w:hanging="270"/>
            </w:pPr>
            <w:r>
              <w:t>Reviewing of criteria</w:t>
            </w:r>
          </w:p>
          <w:p w14:paraId="5619C7F3" w14:textId="77777777" w:rsidR="0095141E" w:rsidRDefault="0095141E" w:rsidP="0095141E">
            <w:pPr>
              <w:pStyle w:val="ListParagraph"/>
              <w:numPr>
                <w:ilvl w:val="0"/>
                <w:numId w:val="12"/>
              </w:numPr>
              <w:ind w:left="342" w:hanging="270"/>
            </w:pPr>
            <w:r>
              <w:t>Incorporating</w:t>
            </w:r>
          </w:p>
          <w:p w14:paraId="3618A153" w14:textId="77777777" w:rsidR="0095141E" w:rsidRDefault="0095141E" w:rsidP="0095141E">
            <w:pPr>
              <w:pStyle w:val="ListParagraph"/>
              <w:numPr>
                <w:ilvl w:val="0"/>
                <w:numId w:val="12"/>
              </w:numPr>
              <w:ind w:left="342" w:hanging="270"/>
            </w:pPr>
            <w:r>
              <w:t>all tourism-related sectors</w:t>
            </w:r>
          </w:p>
          <w:p w14:paraId="69F1C424" w14:textId="77777777" w:rsidR="0095141E" w:rsidRDefault="0095141E" w:rsidP="0095141E">
            <w:pPr>
              <w:pStyle w:val="ListParagraph"/>
              <w:numPr>
                <w:ilvl w:val="0"/>
                <w:numId w:val="12"/>
              </w:numPr>
              <w:ind w:left="342" w:hanging="270"/>
            </w:pPr>
            <w:r>
              <w:t xml:space="preserve">Application, assessment and, certification </w:t>
            </w:r>
          </w:p>
          <w:p w14:paraId="7AFE94DB" w14:textId="77777777" w:rsidR="0095141E" w:rsidRPr="00DB10C3" w:rsidRDefault="0095141E" w:rsidP="0095141E">
            <w:pPr>
              <w:pStyle w:val="ListParagraph"/>
              <w:numPr>
                <w:ilvl w:val="0"/>
                <w:numId w:val="12"/>
              </w:numPr>
              <w:ind w:left="342" w:hanging="270"/>
            </w:pPr>
            <w:r>
              <w:t>Monitoring and evaluation</w:t>
            </w:r>
          </w:p>
        </w:tc>
        <w:tc>
          <w:tcPr>
            <w:tcW w:w="1260" w:type="dxa"/>
            <w:vMerge/>
            <w:vAlign w:val="center"/>
          </w:tcPr>
          <w:p w14:paraId="13A19876" w14:textId="77777777" w:rsidR="0095141E" w:rsidRDefault="0095141E" w:rsidP="00C774E6"/>
        </w:tc>
        <w:tc>
          <w:tcPr>
            <w:tcW w:w="1260" w:type="dxa"/>
            <w:vMerge/>
            <w:vAlign w:val="center"/>
          </w:tcPr>
          <w:p w14:paraId="3962A6EE" w14:textId="77777777" w:rsidR="0095141E" w:rsidRDefault="0095141E" w:rsidP="00C774E6"/>
        </w:tc>
        <w:tc>
          <w:tcPr>
            <w:tcW w:w="1308" w:type="dxa"/>
            <w:vMerge/>
            <w:vAlign w:val="center"/>
          </w:tcPr>
          <w:p w14:paraId="18AADDEB" w14:textId="77777777" w:rsidR="0095141E" w:rsidRDefault="0095141E" w:rsidP="00C774E6"/>
        </w:tc>
      </w:tr>
      <w:tr w:rsidR="0095141E" w14:paraId="68BDDAC9" w14:textId="77777777" w:rsidTr="00C774E6">
        <w:tc>
          <w:tcPr>
            <w:tcW w:w="538" w:type="dxa"/>
            <w:vAlign w:val="center"/>
          </w:tcPr>
          <w:p w14:paraId="7E4BA161" w14:textId="77777777" w:rsidR="0095141E" w:rsidRDefault="0095141E" w:rsidP="00C774E6">
            <w:r>
              <w:t>2</w:t>
            </w:r>
          </w:p>
        </w:tc>
        <w:tc>
          <w:tcPr>
            <w:tcW w:w="1675" w:type="dxa"/>
            <w:vAlign w:val="center"/>
          </w:tcPr>
          <w:p w14:paraId="367B0E89" w14:textId="77777777" w:rsidR="0095141E" w:rsidRDefault="0095141E" w:rsidP="00C774E6">
            <w:r w:rsidRPr="001A4698">
              <w:t>Eco-labels</w:t>
            </w:r>
            <w:r>
              <w:t xml:space="preserve"> (EL)</w:t>
            </w:r>
            <w:r w:rsidRPr="001A4698">
              <w:t>: Eco Label for products with certified sustainable standards</w:t>
            </w:r>
          </w:p>
        </w:tc>
        <w:tc>
          <w:tcPr>
            <w:tcW w:w="3182" w:type="dxa"/>
            <w:vAlign w:val="center"/>
          </w:tcPr>
          <w:p w14:paraId="29E960D5" w14:textId="77777777" w:rsidR="0095141E" w:rsidRPr="00E51E73" w:rsidRDefault="0095141E" w:rsidP="00C774E6">
            <w:r w:rsidRPr="00D82548">
              <w:t>To encourage production and consumption of goods and services according to the norms and standards that would promote conservation and sustainable use of biodiversity</w:t>
            </w:r>
          </w:p>
        </w:tc>
        <w:tc>
          <w:tcPr>
            <w:tcW w:w="4680" w:type="dxa"/>
            <w:vAlign w:val="center"/>
          </w:tcPr>
          <w:p w14:paraId="793494A8" w14:textId="77777777" w:rsidR="0095141E" w:rsidRDefault="0095141E" w:rsidP="0095141E">
            <w:pPr>
              <w:pStyle w:val="ListParagraph"/>
              <w:numPr>
                <w:ilvl w:val="0"/>
                <w:numId w:val="13"/>
              </w:numPr>
              <w:ind w:left="342" w:hanging="270"/>
            </w:pPr>
            <w:r>
              <w:t>Appointing technical and steering committees</w:t>
            </w:r>
          </w:p>
          <w:p w14:paraId="7137E398" w14:textId="77777777" w:rsidR="0095141E" w:rsidRDefault="0095141E" w:rsidP="0095141E">
            <w:pPr>
              <w:pStyle w:val="ListParagraph"/>
              <w:numPr>
                <w:ilvl w:val="0"/>
                <w:numId w:val="13"/>
              </w:numPr>
              <w:ind w:left="342" w:hanging="270"/>
            </w:pPr>
            <w:r>
              <w:t>Developing criteria and regulatory reforms</w:t>
            </w:r>
          </w:p>
          <w:p w14:paraId="08233416" w14:textId="77777777" w:rsidR="0095141E" w:rsidRDefault="0095141E" w:rsidP="0095141E">
            <w:pPr>
              <w:pStyle w:val="ListParagraph"/>
              <w:numPr>
                <w:ilvl w:val="0"/>
                <w:numId w:val="13"/>
              </w:numPr>
              <w:ind w:left="342" w:hanging="270"/>
            </w:pPr>
            <w:r>
              <w:t>Validation by stakeholder</w:t>
            </w:r>
          </w:p>
          <w:p w14:paraId="4991D8D4" w14:textId="77777777" w:rsidR="0095141E" w:rsidRDefault="0095141E" w:rsidP="0095141E">
            <w:pPr>
              <w:pStyle w:val="ListParagraph"/>
              <w:numPr>
                <w:ilvl w:val="0"/>
                <w:numId w:val="13"/>
              </w:numPr>
              <w:ind w:left="342" w:hanging="270"/>
            </w:pPr>
            <w:r>
              <w:t>Government approval</w:t>
            </w:r>
          </w:p>
          <w:p w14:paraId="7B3816A0" w14:textId="77777777" w:rsidR="0095141E" w:rsidRDefault="0095141E" w:rsidP="0095141E">
            <w:pPr>
              <w:pStyle w:val="ListParagraph"/>
              <w:numPr>
                <w:ilvl w:val="0"/>
                <w:numId w:val="13"/>
              </w:numPr>
              <w:ind w:left="342" w:hanging="270"/>
            </w:pPr>
            <w:r>
              <w:t>Awareness programmes and capacity building</w:t>
            </w:r>
          </w:p>
          <w:p w14:paraId="31C9019F" w14:textId="77777777" w:rsidR="0095141E" w:rsidRDefault="0095141E" w:rsidP="0095141E">
            <w:pPr>
              <w:pStyle w:val="ListParagraph"/>
              <w:numPr>
                <w:ilvl w:val="0"/>
                <w:numId w:val="13"/>
              </w:numPr>
              <w:ind w:left="342" w:hanging="270"/>
            </w:pPr>
            <w:r>
              <w:t>to promote both consumption and production</w:t>
            </w:r>
          </w:p>
          <w:p w14:paraId="074FF03B" w14:textId="77777777" w:rsidR="0095141E" w:rsidRDefault="0095141E" w:rsidP="0095141E">
            <w:pPr>
              <w:pStyle w:val="ListParagraph"/>
              <w:numPr>
                <w:ilvl w:val="0"/>
                <w:numId w:val="13"/>
              </w:numPr>
              <w:ind w:left="342" w:hanging="270"/>
            </w:pPr>
            <w:r>
              <w:t>Establishing implementation mechanism</w:t>
            </w:r>
          </w:p>
          <w:p w14:paraId="20BFB524" w14:textId="77777777" w:rsidR="0095141E" w:rsidRDefault="0095141E" w:rsidP="0095141E">
            <w:pPr>
              <w:pStyle w:val="ListParagraph"/>
              <w:numPr>
                <w:ilvl w:val="0"/>
                <w:numId w:val="13"/>
              </w:numPr>
              <w:ind w:left="342" w:hanging="270"/>
            </w:pPr>
            <w:r>
              <w:t>Application, assessment and, labelling</w:t>
            </w:r>
          </w:p>
          <w:p w14:paraId="7594F846" w14:textId="77777777" w:rsidR="0095141E" w:rsidRPr="001A4698" w:rsidRDefault="0095141E" w:rsidP="0095141E">
            <w:pPr>
              <w:pStyle w:val="ListParagraph"/>
              <w:numPr>
                <w:ilvl w:val="0"/>
                <w:numId w:val="13"/>
              </w:numPr>
              <w:ind w:left="342" w:hanging="270"/>
            </w:pPr>
            <w:r>
              <w:t>Monitoring and evaluation</w:t>
            </w:r>
          </w:p>
        </w:tc>
        <w:tc>
          <w:tcPr>
            <w:tcW w:w="1260" w:type="dxa"/>
            <w:vAlign w:val="center"/>
          </w:tcPr>
          <w:p w14:paraId="6F05793B" w14:textId="77777777" w:rsidR="0095141E" w:rsidRDefault="0095141E" w:rsidP="00C774E6">
            <w:r>
              <w:t>2019-2023</w:t>
            </w:r>
          </w:p>
        </w:tc>
        <w:tc>
          <w:tcPr>
            <w:tcW w:w="1260" w:type="dxa"/>
            <w:vAlign w:val="center"/>
          </w:tcPr>
          <w:p w14:paraId="4008CA8A" w14:textId="77777777" w:rsidR="0095141E" w:rsidRDefault="0095141E" w:rsidP="00C774E6">
            <w:r>
              <w:t>105,000</w:t>
            </w:r>
          </w:p>
        </w:tc>
        <w:tc>
          <w:tcPr>
            <w:tcW w:w="1308" w:type="dxa"/>
            <w:vAlign w:val="center"/>
          </w:tcPr>
          <w:p w14:paraId="2C4EDE96" w14:textId="77777777" w:rsidR="0095141E" w:rsidRDefault="0095141E" w:rsidP="00C774E6">
            <w:r>
              <w:t>10 million</w:t>
            </w:r>
          </w:p>
        </w:tc>
      </w:tr>
      <w:tr w:rsidR="0095141E" w14:paraId="08D18600" w14:textId="77777777" w:rsidTr="00C774E6">
        <w:tc>
          <w:tcPr>
            <w:tcW w:w="538" w:type="dxa"/>
            <w:vAlign w:val="center"/>
          </w:tcPr>
          <w:p w14:paraId="567F36FF" w14:textId="77777777" w:rsidR="0095141E" w:rsidRDefault="0095141E" w:rsidP="00C774E6">
            <w:r>
              <w:t>3</w:t>
            </w:r>
          </w:p>
        </w:tc>
        <w:tc>
          <w:tcPr>
            <w:tcW w:w="1675" w:type="dxa"/>
            <w:vAlign w:val="center"/>
          </w:tcPr>
          <w:p w14:paraId="696DB6A4" w14:textId="77777777" w:rsidR="0095141E" w:rsidRDefault="0095141E" w:rsidP="00C774E6">
            <w:r w:rsidRPr="00B0271D">
              <w:t>Green Lending</w:t>
            </w:r>
            <w:r>
              <w:t xml:space="preserve"> (GL)</w:t>
            </w:r>
            <w:r w:rsidRPr="00B0271D">
              <w:t>: “Green Financing” under the Sustainable Banking Network (SBN)</w:t>
            </w:r>
          </w:p>
        </w:tc>
        <w:tc>
          <w:tcPr>
            <w:tcW w:w="3182" w:type="dxa"/>
            <w:vAlign w:val="center"/>
          </w:tcPr>
          <w:p w14:paraId="3104A1E6" w14:textId="77777777" w:rsidR="0095141E" w:rsidRPr="00D82548" w:rsidRDefault="0095141E" w:rsidP="00C774E6">
            <w:r w:rsidRPr="00E66C1C">
              <w:t>To encourage commercial banks to prioritize bank lending to business activities with in-built mechanisms aimed at adopting sustainable environment and b</w:t>
            </w:r>
            <w:r>
              <w:t>iodiversity norms and standards</w:t>
            </w:r>
          </w:p>
        </w:tc>
        <w:tc>
          <w:tcPr>
            <w:tcW w:w="4680" w:type="dxa"/>
            <w:vAlign w:val="center"/>
          </w:tcPr>
          <w:p w14:paraId="19C3B2BF" w14:textId="77777777" w:rsidR="0095141E" w:rsidRDefault="0095141E" w:rsidP="0095141E">
            <w:pPr>
              <w:pStyle w:val="ListParagraph"/>
              <w:numPr>
                <w:ilvl w:val="0"/>
                <w:numId w:val="14"/>
              </w:numPr>
              <w:ind w:left="304" w:hanging="284"/>
            </w:pPr>
            <w:r>
              <w:t>Developing TOR for the Road Map</w:t>
            </w:r>
          </w:p>
          <w:p w14:paraId="03AD1A17" w14:textId="77777777" w:rsidR="0095141E" w:rsidRDefault="0095141E" w:rsidP="0095141E">
            <w:pPr>
              <w:pStyle w:val="ListParagraph"/>
              <w:numPr>
                <w:ilvl w:val="0"/>
                <w:numId w:val="14"/>
              </w:numPr>
              <w:ind w:left="304" w:hanging="284"/>
            </w:pPr>
            <w:r>
              <w:t>Recruiting consultant and developing Road Map</w:t>
            </w:r>
          </w:p>
          <w:p w14:paraId="22CE8986" w14:textId="77777777" w:rsidR="0095141E" w:rsidRDefault="0095141E" w:rsidP="0095141E">
            <w:pPr>
              <w:pStyle w:val="ListParagraph"/>
              <w:numPr>
                <w:ilvl w:val="0"/>
                <w:numId w:val="14"/>
              </w:numPr>
              <w:ind w:left="304" w:hanging="284"/>
            </w:pPr>
            <w:r>
              <w:t>Validation and approval by authorities</w:t>
            </w:r>
          </w:p>
          <w:p w14:paraId="687E90C0" w14:textId="77777777" w:rsidR="0095141E" w:rsidRDefault="0095141E" w:rsidP="0095141E">
            <w:pPr>
              <w:pStyle w:val="ListParagraph"/>
              <w:numPr>
                <w:ilvl w:val="0"/>
                <w:numId w:val="14"/>
              </w:numPr>
              <w:ind w:left="304" w:hanging="284"/>
            </w:pPr>
            <w:r>
              <w:t>Providing guidelines to the commercial banks</w:t>
            </w:r>
          </w:p>
          <w:p w14:paraId="5A8402FF" w14:textId="77777777" w:rsidR="0095141E" w:rsidRDefault="0095141E" w:rsidP="0095141E">
            <w:pPr>
              <w:pStyle w:val="ListParagraph"/>
              <w:numPr>
                <w:ilvl w:val="0"/>
                <w:numId w:val="14"/>
              </w:numPr>
              <w:ind w:left="304" w:hanging="284"/>
            </w:pPr>
            <w:r>
              <w:t>Training for the commercial banks</w:t>
            </w:r>
          </w:p>
          <w:p w14:paraId="1573C409" w14:textId="77777777" w:rsidR="0095141E" w:rsidRDefault="0095141E" w:rsidP="0095141E">
            <w:pPr>
              <w:pStyle w:val="ListParagraph"/>
              <w:numPr>
                <w:ilvl w:val="0"/>
                <w:numId w:val="14"/>
              </w:numPr>
              <w:ind w:left="304" w:hanging="284"/>
            </w:pPr>
            <w:r>
              <w:t>Application of Road Map in green lending</w:t>
            </w:r>
          </w:p>
          <w:p w14:paraId="1534471E" w14:textId="77777777" w:rsidR="0095141E" w:rsidRPr="00370A54" w:rsidRDefault="0095141E" w:rsidP="0095141E">
            <w:pPr>
              <w:pStyle w:val="ListParagraph"/>
              <w:numPr>
                <w:ilvl w:val="0"/>
                <w:numId w:val="14"/>
              </w:numPr>
              <w:ind w:left="304" w:hanging="284"/>
            </w:pPr>
            <w:r>
              <w:t>Monitoring and evaluation activities</w:t>
            </w:r>
          </w:p>
        </w:tc>
        <w:tc>
          <w:tcPr>
            <w:tcW w:w="1260" w:type="dxa"/>
            <w:vAlign w:val="center"/>
          </w:tcPr>
          <w:p w14:paraId="11990612" w14:textId="77777777" w:rsidR="0095141E" w:rsidRDefault="0095141E" w:rsidP="00C774E6">
            <w:r>
              <w:t>2018</w:t>
            </w:r>
          </w:p>
        </w:tc>
        <w:tc>
          <w:tcPr>
            <w:tcW w:w="1260" w:type="dxa"/>
            <w:vAlign w:val="center"/>
          </w:tcPr>
          <w:p w14:paraId="368A8E8C" w14:textId="77777777" w:rsidR="0095141E" w:rsidRDefault="0095141E" w:rsidP="00C774E6">
            <w:r>
              <w:t>100,000</w:t>
            </w:r>
          </w:p>
        </w:tc>
        <w:tc>
          <w:tcPr>
            <w:tcW w:w="1308" w:type="dxa"/>
            <w:vAlign w:val="center"/>
          </w:tcPr>
          <w:p w14:paraId="7C8B5890" w14:textId="77777777" w:rsidR="0095141E" w:rsidRDefault="0095141E" w:rsidP="00C774E6">
            <w:r>
              <w:t>96 million</w:t>
            </w:r>
          </w:p>
        </w:tc>
      </w:tr>
      <w:tr w:rsidR="0095141E" w14:paraId="74320735" w14:textId="77777777" w:rsidTr="00C774E6">
        <w:tc>
          <w:tcPr>
            <w:tcW w:w="538" w:type="dxa"/>
            <w:vAlign w:val="center"/>
          </w:tcPr>
          <w:p w14:paraId="690E60E0" w14:textId="77777777" w:rsidR="0095141E" w:rsidRDefault="0095141E" w:rsidP="00C774E6">
            <w:r>
              <w:t>4</w:t>
            </w:r>
          </w:p>
        </w:tc>
        <w:tc>
          <w:tcPr>
            <w:tcW w:w="1675" w:type="dxa"/>
            <w:vAlign w:val="center"/>
          </w:tcPr>
          <w:p w14:paraId="67A75806" w14:textId="77777777" w:rsidR="0095141E" w:rsidRDefault="0095141E" w:rsidP="00C774E6">
            <w:r w:rsidRPr="00C16993">
              <w:t>Corporate Social Responsibility</w:t>
            </w:r>
            <w:r>
              <w:t xml:space="preserve"> (CSR)</w:t>
            </w:r>
            <w:r w:rsidRPr="00C16993">
              <w:t xml:space="preserve"> and its increased share in biodiversity conservation</w:t>
            </w:r>
          </w:p>
        </w:tc>
        <w:tc>
          <w:tcPr>
            <w:tcW w:w="3182" w:type="dxa"/>
            <w:vAlign w:val="center"/>
          </w:tcPr>
          <w:p w14:paraId="19E8D88A" w14:textId="77777777" w:rsidR="0095141E" w:rsidRPr="00FC7354" w:rsidRDefault="0095141E" w:rsidP="00C774E6">
            <w:r w:rsidRPr="00363527">
              <w:t>To encourage the corporate sector to ensure a minimum share of the CSR allocation for conservation of biodiversity and to follow the ecological approaches to their all types of CSR activitie</w:t>
            </w:r>
            <w:r>
              <w:t>s</w:t>
            </w:r>
          </w:p>
        </w:tc>
        <w:tc>
          <w:tcPr>
            <w:tcW w:w="4680" w:type="dxa"/>
            <w:vAlign w:val="center"/>
          </w:tcPr>
          <w:p w14:paraId="14C7F15D" w14:textId="77777777" w:rsidR="0095141E" w:rsidRDefault="0095141E" w:rsidP="0095141E">
            <w:pPr>
              <w:pStyle w:val="ListParagraph"/>
              <w:numPr>
                <w:ilvl w:val="0"/>
                <w:numId w:val="15"/>
              </w:numPr>
              <w:ind w:left="304" w:hanging="283"/>
            </w:pPr>
            <w:r>
              <w:t>Consultation process with the corporate sector</w:t>
            </w:r>
          </w:p>
          <w:p w14:paraId="55833E59" w14:textId="77777777" w:rsidR="0095141E" w:rsidRDefault="0095141E" w:rsidP="0095141E">
            <w:pPr>
              <w:pStyle w:val="ListParagraph"/>
              <w:numPr>
                <w:ilvl w:val="0"/>
                <w:numId w:val="15"/>
              </w:numPr>
              <w:ind w:left="304" w:hanging="283"/>
            </w:pPr>
            <w:r>
              <w:t>CSR and perception survey of the corporate sector</w:t>
            </w:r>
          </w:p>
          <w:p w14:paraId="26FBB3B3" w14:textId="77777777" w:rsidR="0095141E" w:rsidRDefault="0095141E" w:rsidP="0095141E">
            <w:pPr>
              <w:pStyle w:val="ListParagraph"/>
              <w:numPr>
                <w:ilvl w:val="0"/>
                <w:numId w:val="15"/>
              </w:numPr>
              <w:ind w:left="304" w:hanging="283"/>
            </w:pPr>
            <w:r>
              <w:t>Establishing a Steering Committee comprising stakeholder representation</w:t>
            </w:r>
            <w:r>
              <w:tab/>
            </w:r>
          </w:p>
          <w:p w14:paraId="2129ABED" w14:textId="77777777" w:rsidR="0095141E" w:rsidRDefault="0095141E" w:rsidP="0095141E">
            <w:pPr>
              <w:pStyle w:val="ListParagraph"/>
              <w:numPr>
                <w:ilvl w:val="0"/>
                <w:numId w:val="15"/>
              </w:numPr>
              <w:ind w:left="304" w:hanging="283"/>
            </w:pPr>
            <w:r>
              <w:t>Designing preferred benchmarks, rewards schemes, public sector assistance</w:t>
            </w:r>
          </w:p>
          <w:p w14:paraId="56B56B07" w14:textId="77777777" w:rsidR="0095141E" w:rsidRDefault="0095141E" w:rsidP="0095141E">
            <w:pPr>
              <w:pStyle w:val="ListParagraph"/>
              <w:numPr>
                <w:ilvl w:val="0"/>
                <w:numId w:val="15"/>
              </w:numPr>
              <w:ind w:left="304" w:hanging="283"/>
            </w:pPr>
            <w:r>
              <w:t>Awareness building on appropriate biodiversity approaches such as “ecological approach”</w:t>
            </w:r>
          </w:p>
          <w:p w14:paraId="08D7D3C6" w14:textId="77777777" w:rsidR="0095141E" w:rsidRDefault="0095141E" w:rsidP="0095141E">
            <w:pPr>
              <w:pStyle w:val="ListParagraph"/>
              <w:numPr>
                <w:ilvl w:val="0"/>
                <w:numId w:val="15"/>
              </w:numPr>
              <w:ind w:left="304" w:hanging="283"/>
            </w:pPr>
            <w:r>
              <w:t>Identifying and listing biodiversity conservation areas and projects, nationally and locally</w:t>
            </w:r>
          </w:p>
          <w:p w14:paraId="5AE3F971" w14:textId="77777777" w:rsidR="0095141E" w:rsidRDefault="0095141E" w:rsidP="0095141E">
            <w:pPr>
              <w:pStyle w:val="ListParagraph"/>
              <w:numPr>
                <w:ilvl w:val="0"/>
                <w:numId w:val="15"/>
              </w:numPr>
              <w:ind w:left="304" w:hanging="283"/>
            </w:pPr>
            <w:r>
              <w:t>Promoting a national campaign to promote CSR funding for biodiversity</w:t>
            </w:r>
          </w:p>
          <w:p w14:paraId="76E54BD3" w14:textId="77777777" w:rsidR="0095141E" w:rsidRDefault="0095141E" w:rsidP="0095141E">
            <w:pPr>
              <w:pStyle w:val="ListParagraph"/>
              <w:numPr>
                <w:ilvl w:val="0"/>
                <w:numId w:val="15"/>
              </w:numPr>
              <w:ind w:left="304" w:hanging="283"/>
            </w:pPr>
            <w:r>
              <w:t>Presenting biodiversity investment opportunities to CSR funding</w:t>
            </w:r>
          </w:p>
          <w:p w14:paraId="559ACD72" w14:textId="77777777" w:rsidR="0095141E" w:rsidRDefault="0095141E" w:rsidP="0095141E">
            <w:pPr>
              <w:pStyle w:val="ListParagraph"/>
              <w:numPr>
                <w:ilvl w:val="0"/>
                <w:numId w:val="15"/>
              </w:numPr>
              <w:ind w:left="304" w:hanging="283"/>
            </w:pPr>
            <w:r>
              <w:t>Presenting the scheme for corporate sector and public sector at national and local levels</w:t>
            </w:r>
          </w:p>
          <w:p w14:paraId="2EC8688E" w14:textId="77777777" w:rsidR="0095141E" w:rsidRDefault="0095141E" w:rsidP="0095141E">
            <w:pPr>
              <w:pStyle w:val="ListParagraph"/>
              <w:numPr>
                <w:ilvl w:val="0"/>
                <w:numId w:val="15"/>
              </w:numPr>
              <w:ind w:left="304" w:hanging="283"/>
            </w:pPr>
            <w:r>
              <w:t>Implementing projects</w:t>
            </w:r>
          </w:p>
          <w:p w14:paraId="595FD6C4" w14:textId="77777777" w:rsidR="0095141E" w:rsidRDefault="0095141E" w:rsidP="0095141E">
            <w:pPr>
              <w:pStyle w:val="ListParagraph"/>
              <w:numPr>
                <w:ilvl w:val="0"/>
                <w:numId w:val="15"/>
              </w:numPr>
              <w:ind w:left="304" w:hanging="283"/>
            </w:pPr>
            <w:r>
              <w:t>Data reporting and compilation</w:t>
            </w:r>
          </w:p>
          <w:p w14:paraId="4CBF0C79" w14:textId="77777777" w:rsidR="0095141E" w:rsidRPr="00C16993" w:rsidRDefault="0095141E" w:rsidP="0095141E">
            <w:pPr>
              <w:pStyle w:val="ListParagraph"/>
              <w:numPr>
                <w:ilvl w:val="0"/>
                <w:numId w:val="15"/>
              </w:numPr>
              <w:ind w:left="304" w:hanging="283"/>
            </w:pPr>
            <w:r>
              <w:t>Monitoring and evaluation</w:t>
            </w:r>
          </w:p>
        </w:tc>
        <w:tc>
          <w:tcPr>
            <w:tcW w:w="1260" w:type="dxa"/>
            <w:vAlign w:val="center"/>
          </w:tcPr>
          <w:p w14:paraId="584E4DAE" w14:textId="77777777" w:rsidR="0095141E" w:rsidRDefault="0095141E" w:rsidP="00C774E6">
            <w:r>
              <w:t>2019-2021</w:t>
            </w:r>
          </w:p>
        </w:tc>
        <w:tc>
          <w:tcPr>
            <w:tcW w:w="1260" w:type="dxa"/>
            <w:vAlign w:val="center"/>
          </w:tcPr>
          <w:p w14:paraId="4F06F03D" w14:textId="77777777" w:rsidR="0095141E" w:rsidRDefault="0095141E" w:rsidP="00C774E6">
            <w:r>
              <w:t>120,000</w:t>
            </w:r>
          </w:p>
        </w:tc>
        <w:tc>
          <w:tcPr>
            <w:tcW w:w="1308" w:type="dxa"/>
            <w:vAlign w:val="center"/>
          </w:tcPr>
          <w:p w14:paraId="583B40CE" w14:textId="77777777" w:rsidR="0095141E" w:rsidRDefault="0095141E" w:rsidP="00C774E6">
            <w:r>
              <w:t>24 million</w:t>
            </w:r>
          </w:p>
        </w:tc>
      </w:tr>
      <w:tr w:rsidR="0095141E" w14:paraId="28D2FEDA" w14:textId="77777777" w:rsidTr="00C774E6">
        <w:tc>
          <w:tcPr>
            <w:tcW w:w="538" w:type="dxa"/>
            <w:vAlign w:val="center"/>
          </w:tcPr>
          <w:p w14:paraId="3E4B7D6E" w14:textId="77777777" w:rsidR="0095141E" w:rsidRDefault="0095141E" w:rsidP="00C774E6">
            <w:r>
              <w:t>5</w:t>
            </w:r>
          </w:p>
        </w:tc>
        <w:tc>
          <w:tcPr>
            <w:tcW w:w="1675" w:type="dxa"/>
            <w:vAlign w:val="center"/>
          </w:tcPr>
          <w:p w14:paraId="7117C47E" w14:textId="77777777" w:rsidR="0095141E" w:rsidRDefault="0095141E" w:rsidP="00C774E6">
            <w:r w:rsidRPr="00EC187A">
              <w:t>Lotteries</w:t>
            </w:r>
            <w:r>
              <w:t xml:space="preserve"> (LOT)</w:t>
            </w:r>
            <w:r w:rsidRPr="00EC187A">
              <w:t>: a lottery for biodiversity conservation</w:t>
            </w:r>
          </w:p>
        </w:tc>
        <w:tc>
          <w:tcPr>
            <w:tcW w:w="3182" w:type="dxa"/>
            <w:vAlign w:val="center"/>
          </w:tcPr>
          <w:p w14:paraId="37DA0651" w14:textId="77777777" w:rsidR="0095141E" w:rsidRPr="00FC7354" w:rsidRDefault="0095141E" w:rsidP="00C774E6">
            <w:r w:rsidRPr="00FC7354">
              <w:t>To mobilize financial resources to fund national projects and programmes for conservation of terrestrial and marine biodiversity</w:t>
            </w:r>
          </w:p>
        </w:tc>
        <w:tc>
          <w:tcPr>
            <w:tcW w:w="4680" w:type="dxa"/>
            <w:vAlign w:val="center"/>
          </w:tcPr>
          <w:p w14:paraId="423124AC" w14:textId="77777777" w:rsidR="0095141E" w:rsidRDefault="0095141E" w:rsidP="0095141E">
            <w:pPr>
              <w:pStyle w:val="ListParagraph"/>
              <w:numPr>
                <w:ilvl w:val="0"/>
                <w:numId w:val="16"/>
              </w:numPr>
              <w:ind w:left="304" w:hanging="283"/>
            </w:pPr>
            <w:r>
              <w:t>Conducting a study on the existing mechanisms</w:t>
            </w:r>
          </w:p>
          <w:p w14:paraId="7258ACC1" w14:textId="77777777" w:rsidR="0095141E" w:rsidRDefault="0095141E" w:rsidP="0095141E">
            <w:pPr>
              <w:pStyle w:val="ListParagraph"/>
              <w:numPr>
                <w:ilvl w:val="0"/>
                <w:numId w:val="16"/>
              </w:numPr>
              <w:ind w:left="304" w:hanging="283"/>
            </w:pPr>
            <w:r>
              <w:t>Identifying the market, the lottery scheme, operating mechanism including fund utilization mechanism</w:t>
            </w:r>
          </w:p>
          <w:p w14:paraId="4EE852E3" w14:textId="77777777" w:rsidR="0095141E" w:rsidRDefault="0095141E" w:rsidP="0095141E">
            <w:pPr>
              <w:pStyle w:val="ListParagraph"/>
              <w:numPr>
                <w:ilvl w:val="0"/>
                <w:numId w:val="16"/>
              </w:numPr>
              <w:ind w:left="304" w:hanging="283"/>
            </w:pPr>
            <w:r>
              <w:t>Negotiations and validation</w:t>
            </w:r>
          </w:p>
          <w:p w14:paraId="41C0A229" w14:textId="77777777" w:rsidR="0095141E" w:rsidRDefault="0095141E" w:rsidP="0095141E">
            <w:pPr>
              <w:pStyle w:val="ListParagraph"/>
              <w:numPr>
                <w:ilvl w:val="0"/>
                <w:numId w:val="16"/>
              </w:numPr>
              <w:ind w:left="304" w:hanging="283"/>
            </w:pPr>
            <w:r>
              <w:t>Approval and, regulatory, and institutional mechanisms</w:t>
            </w:r>
          </w:p>
          <w:p w14:paraId="1619D49E" w14:textId="77777777" w:rsidR="0095141E" w:rsidRDefault="0095141E" w:rsidP="0095141E">
            <w:pPr>
              <w:pStyle w:val="ListParagraph"/>
              <w:numPr>
                <w:ilvl w:val="0"/>
                <w:numId w:val="16"/>
              </w:numPr>
              <w:ind w:left="304" w:hanging="283"/>
            </w:pPr>
            <w:r>
              <w:t>Launching the lottery</w:t>
            </w:r>
          </w:p>
          <w:p w14:paraId="77FE5D14" w14:textId="77777777" w:rsidR="0095141E" w:rsidRPr="00EC187A" w:rsidRDefault="0095141E" w:rsidP="0095141E">
            <w:pPr>
              <w:pStyle w:val="ListParagraph"/>
              <w:numPr>
                <w:ilvl w:val="0"/>
                <w:numId w:val="16"/>
              </w:numPr>
              <w:ind w:left="304" w:hanging="283"/>
            </w:pPr>
            <w:r>
              <w:t>Monitoring and evaluation, including social impacts</w:t>
            </w:r>
          </w:p>
        </w:tc>
        <w:tc>
          <w:tcPr>
            <w:tcW w:w="1260" w:type="dxa"/>
            <w:vAlign w:val="center"/>
          </w:tcPr>
          <w:p w14:paraId="7445C47E" w14:textId="77777777" w:rsidR="0095141E" w:rsidRDefault="0095141E" w:rsidP="00C774E6">
            <w:r>
              <w:t>2019-2020</w:t>
            </w:r>
          </w:p>
        </w:tc>
        <w:tc>
          <w:tcPr>
            <w:tcW w:w="1260" w:type="dxa"/>
            <w:vAlign w:val="center"/>
          </w:tcPr>
          <w:p w14:paraId="33901C45" w14:textId="77777777" w:rsidR="0095141E" w:rsidRDefault="0095141E" w:rsidP="00C774E6">
            <w:r>
              <w:t>25,000</w:t>
            </w:r>
          </w:p>
        </w:tc>
        <w:tc>
          <w:tcPr>
            <w:tcW w:w="1308" w:type="dxa"/>
            <w:vAlign w:val="center"/>
          </w:tcPr>
          <w:p w14:paraId="3A995EB4" w14:textId="77777777" w:rsidR="0095141E" w:rsidRDefault="0095141E" w:rsidP="00C774E6">
            <w:r>
              <w:t>15 million</w:t>
            </w:r>
          </w:p>
        </w:tc>
      </w:tr>
      <w:tr w:rsidR="0095141E" w14:paraId="0ABD9D5F" w14:textId="77777777" w:rsidTr="00C774E6">
        <w:tc>
          <w:tcPr>
            <w:tcW w:w="538" w:type="dxa"/>
            <w:vMerge w:val="restart"/>
            <w:vAlign w:val="center"/>
          </w:tcPr>
          <w:p w14:paraId="4187B468" w14:textId="77777777" w:rsidR="0095141E" w:rsidRDefault="0095141E" w:rsidP="00C774E6">
            <w:r>
              <w:t>6A</w:t>
            </w:r>
          </w:p>
        </w:tc>
        <w:tc>
          <w:tcPr>
            <w:tcW w:w="1675" w:type="dxa"/>
            <w:vMerge w:val="restart"/>
            <w:vAlign w:val="center"/>
          </w:tcPr>
          <w:p w14:paraId="0E20D100" w14:textId="77777777" w:rsidR="0095141E" w:rsidRPr="000B42CB" w:rsidRDefault="0095141E" w:rsidP="00C774E6">
            <w:r w:rsidRPr="000B42CB">
              <w:t>PES: Payment for watershed management at mini-hydro power plant</w:t>
            </w:r>
          </w:p>
        </w:tc>
        <w:tc>
          <w:tcPr>
            <w:tcW w:w="3182" w:type="dxa"/>
            <w:vMerge w:val="restart"/>
            <w:vAlign w:val="center"/>
          </w:tcPr>
          <w:p w14:paraId="1BFEB0F6" w14:textId="77777777" w:rsidR="0095141E" w:rsidRPr="007E65BB" w:rsidRDefault="0095141E" w:rsidP="00C774E6">
            <w:r w:rsidRPr="007E65BB">
              <w:t>To improve watershed management through a PES scheme for enhancing and sustaining hydro-power generation by a private power producer</w:t>
            </w:r>
          </w:p>
        </w:tc>
        <w:tc>
          <w:tcPr>
            <w:tcW w:w="4680" w:type="dxa"/>
            <w:vAlign w:val="center"/>
          </w:tcPr>
          <w:p w14:paraId="14D79D8B" w14:textId="77777777" w:rsidR="0095141E" w:rsidRDefault="0095141E" w:rsidP="00C774E6">
            <w:r>
              <w:t>PHASE 1: Study</w:t>
            </w:r>
          </w:p>
        </w:tc>
        <w:tc>
          <w:tcPr>
            <w:tcW w:w="1260" w:type="dxa"/>
            <w:vMerge w:val="restart"/>
            <w:vAlign w:val="center"/>
          </w:tcPr>
          <w:p w14:paraId="2EC39E9C" w14:textId="77777777" w:rsidR="0095141E" w:rsidRDefault="0095141E" w:rsidP="00C774E6">
            <w:r>
              <w:t>2018-2019</w:t>
            </w:r>
          </w:p>
        </w:tc>
        <w:tc>
          <w:tcPr>
            <w:tcW w:w="1260" w:type="dxa"/>
            <w:vMerge w:val="restart"/>
            <w:vAlign w:val="center"/>
          </w:tcPr>
          <w:p w14:paraId="21A89A98" w14:textId="77777777" w:rsidR="0095141E" w:rsidRDefault="0095141E" w:rsidP="00C774E6">
            <w:r>
              <w:t>40,372</w:t>
            </w:r>
          </w:p>
        </w:tc>
        <w:tc>
          <w:tcPr>
            <w:tcW w:w="1308" w:type="dxa"/>
            <w:vMerge w:val="restart"/>
            <w:vAlign w:val="center"/>
          </w:tcPr>
          <w:p w14:paraId="5C3F7D7A" w14:textId="77777777" w:rsidR="0095141E" w:rsidRDefault="0095141E" w:rsidP="00C774E6">
            <w:r>
              <w:t>250,000</w:t>
            </w:r>
          </w:p>
        </w:tc>
      </w:tr>
      <w:tr w:rsidR="0095141E" w14:paraId="37117420" w14:textId="77777777" w:rsidTr="00C774E6">
        <w:tc>
          <w:tcPr>
            <w:tcW w:w="538" w:type="dxa"/>
            <w:vMerge/>
            <w:vAlign w:val="center"/>
          </w:tcPr>
          <w:p w14:paraId="274AF624" w14:textId="77777777" w:rsidR="0095141E" w:rsidRDefault="0095141E" w:rsidP="00C774E6"/>
        </w:tc>
        <w:tc>
          <w:tcPr>
            <w:tcW w:w="1675" w:type="dxa"/>
            <w:vMerge/>
            <w:vAlign w:val="center"/>
          </w:tcPr>
          <w:p w14:paraId="01D19880" w14:textId="77777777" w:rsidR="0095141E" w:rsidRDefault="0095141E" w:rsidP="00C774E6"/>
        </w:tc>
        <w:tc>
          <w:tcPr>
            <w:tcW w:w="3182" w:type="dxa"/>
            <w:vMerge/>
            <w:vAlign w:val="center"/>
          </w:tcPr>
          <w:p w14:paraId="60D41CAC" w14:textId="77777777" w:rsidR="0095141E" w:rsidRDefault="0095141E" w:rsidP="00C774E6"/>
        </w:tc>
        <w:tc>
          <w:tcPr>
            <w:tcW w:w="4680" w:type="dxa"/>
            <w:vAlign w:val="center"/>
          </w:tcPr>
          <w:p w14:paraId="445CD8D7" w14:textId="77777777" w:rsidR="0095141E" w:rsidRPr="006E5863" w:rsidRDefault="0095141E" w:rsidP="0095141E">
            <w:pPr>
              <w:pStyle w:val="ListParagraph"/>
              <w:numPr>
                <w:ilvl w:val="0"/>
                <w:numId w:val="17"/>
              </w:numPr>
              <w:ind w:left="342" w:hanging="270"/>
            </w:pPr>
            <w:r w:rsidRPr="006E5863">
              <w:t>Assessment of the relevant ecosystems and the issues</w:t>
            </w:r>
          </w:p>
          <w:p w14:paraId="38F77F3B" w14:textId="77777777" w:rsidR="0095141E" w:rsidRPr="006E5863" w:rsidRDefault="0095141E" w:rsidP="0095141E">
            <w:pPr>
              <w:pStyle w:val="ListParagraph"/>
              <w:numPr>
                <w:ilvl w:val="0"/>
                <w:numId w:val="17"/>
              </w:numPr>
              <w:ind w:left="342" w:hanging="270"/>
            </w:pPr>
            <w:r w:rsidRPr="006E5863">
              <w:t>Identifying buyers and sellers</w:t>
            </w:r>
          </w:p>
          <w:p w14:paraId="09D8CD15" w14:textId="77777777" w:rsidR="0095141E" w:rsidRPr="006E5863" w:rsidRDefault="0095141E" w:rsidP="0095141E">
            <w:pPr>
              <w:pStyle w:val="ListParagraph"/>
              <w:numPr>
                <w:ilvl w:val="0"/>
                <w:numId w:val="17"/>
              </w:numPr>
              <w:ind w:left="342" w:hanging="270"/>
            </w:pPr>
            <w:r w:rsidRPr="006E5863">
              <w:t>Negotiations and entering into agreements</w:t>
            </w:r>
          </w:p>
          <w:p w14:paraId="5D405F84" w14:textId="77777777" w:rsidR="0095141E" w:rsidRPr="006E5863" w:rsidRDefault="0095141E" w:rsidP="0095141E">
            <w:pPr>
              <w:pStyle w:val="ListParagraph"/>
              <w:numPr>
                <w:ilvl w:val="0"/>
                <w:numId w:val="17"/>
              </w:numPr>
              <w:ind w:left="342" w:hanging="270"/>
            </w:pPr>
            <w:r w:rsidRPr="006E5863">
              <w:t>Designing the PES mechanism</w:t>
            </w:r>
          </w:p>
          <w:p w14:paraId="099D3056" w14:textId="77777777" w:rsidR="0095141E" w:rsidRPr="006E5863" w:rsidRDefault="0095141E" w:rsidP="0095141E">
            <w:pPr>
              <w:pStyle w:val="ListParagraph"/>
              <w:numPr>
                <w:ilvl w:val="0"/>
                <w:numId w:val="17"/>
              </w:numPr>
              <w:ind w:left="342" w:hanging="270"/>
            </w:pPr>
            <w:r w:rsidRPr="006E5863">
              <w:t>Institutional and policy analysis</w:t>
            </w:r>
          </w:p>
        </w:tc>
        <w:tc>
          <w:tcPr>
            <w:tcW w:w="1260" w:type="dxa"/>
            <w:vMerge/>
            <w:vAlign w:val="center"/>
          </w:tcPr>
          <w:p w14:paraId="6E53FD80" w14:textId="77777777" w:rsidR="0095141E" w:rsidRDefault="0095141E" w:rsidP="00C774E6"/>
        </w:tc>
        <w:tc>
          <w:tcPr>
            <w:tcW w:w="1260" w:type="dxa"/>
            <w:vMerge/>
            <w:vAlign w:val="center"/>
          </w:tcPr>
          <w:p w14:paraId="2731026D" w14:textId="77777777" w:rsidR="0095141E" w:rsidRDefault="0095141E" w:rsidP="00C774E6"/>
        </w:tc>
        <w:tc>
          <w:tcPr>
            <w:tcW w:w="1308" w:type="dxa"/>
            <w:vMerge/>
            <w:vAlign w:val="center"/>
          </w:tcPr>
          <w:p w14:paraId="1E36CADE" w14:textId="77777777" w:rsidR="0095141E" w:rsidRDefault="0095141E" w:rsidP="00C774E6"/>
        </w:tc>
      </w:tr>
      <w:tr w:rsidR="0095141E" w14:paraId="6F0AEE65" w14:textId="77777777" w:rsidTr="00C774E6">
        <w:tc>
          <w:tcPr>
            <w:tcW w:w="538" w:type="dxa"/>
            <w:vMerge/>
            <w:vAlign w:val="center"/>
          </w:tcPr>
          <w:p w14:paraId="33A0C26C" w14:textId="77777777" w:rsidR="0095141E" w:rsidRDefault="0095141E" w:rsidP="00C774E6"/>
        </w:tc>
        <w:tc>
          <w:tcPr>
            <w:tcW w:w="1675" w:type="dxa"/>
            <w:vMerge/>
            <w:vAlign w:val="center"/>
          </w:tcPr>
          <w:p w14:paraId="394F780F" w14:textId="77777777" w:rsidR="0095141E" w:rsidRDefault="0095141E" w:rsidP="00C774E6"/>
        </w:tc>
        <w:tc>
          <w:tcPr>
            <w:tcW w:w="3182" w:type="dxa"/>
            <w:vMerge/>
            <w:vAlign w:val="center"/>
          </w:tcPr>
          <w:p w14:paraId="38BDB496" w14:textId="77777777" w:rsidR="0095141E" w:rsidRDefault="0095141E" w:rsidP="00C774E6"/>
        </w:tc>
        <w:tc>
          <w:tcPr>
            <w:tcW w:w="4680" w:type="dxa"/>
            <w:vAlign w:val="center"/>
          </w:tcPr>
          <w:p w14:paraId="60C5AFDD" w14:textId="77777777" w:rsidR="0095141E" w:rsidRDefault="0095141E" w:rsidP="00C774E6">
            <w:r>
              <w:t>PHASE 2: Implementation</w:t>
            </w:r>
          </w:p>
        </w:tc>
        <w:tc>
          <w:tcPr>
            <w:tcW w:w="1260" w:type="dxa"/>
            <w:vMerge w:val="restart"/>
            <w:vAlign w:val="center"/>
          </w:tcPr>
          <w:p w14:paraId="1AF8952B" w14:textId="77777777" w:rsidR="0095141E" w:rsidRDefault="0095141E" w:rsidP="00C774E6">
            <w:r>
              <w:t>2019-2021</w:t>
            </w:r>
          </w:p>
        </w:tc>
        <w:tc>
          <w:tcPr>
            <w:tcW w:w="1260" w:type="dxa"/>
            <w:vMerge w:val="restart"/>
            <w:vAlign w:val="center"/>
          </w:tcPr>
          <w:p w14:paraId="4D7F4AF7" w14:textId="77777777" w:rsidR="0095141E" w:rsidRDefault="0095141E" w:rsidP="00C774E6">
            <w:r>
              <w:t>50,000</w:t>
            </w:r>
          </w:p>
        </w:tc>
        <w:tc>
          <w:tcPr>
            <w:tcW w:w="1308" w:type="dxa"/>
            <w:vMerge/>
            <w:vAlign w:val="center"/>
          </w:tcPr>
          <w:p w14:paraId="276BD659" w14:textId="77777777" w:rsidR="0095141E" w:rsidRDefault="0095141E" w:rsidP="00C774E6"/>
        </w:tc>
      </w:tr>
      <w:tr w:rsidR="0095141E" w14:paraId="7CAFF29A" w14:textId="77777777" w:rsidTr="00C774E6">
        <w:tc>
          <w:tcPr>
            <w:tcW w:w="538" w:type="dxa"/>
            <w:vMerge/>
            <w:vAlign w:val="center"/>
          </w:tcPr>
          <w:p w14:paraId="11687F45" w14:textId="77777777" w:rsidR="0095141E" w:rsidRDefault="0095141E" w:rsidP="00C774E6"/>
        </w:tc>
        <w:tc>
          <w:tcPr>
            <w:tcW w:w="1675" w:type="dxa"/>
            <w:vMerge/>
            <w:vAlign w:val="center"/>
          </w:tcPr>
          <w:p w14:paraId="70E7472A" w14:textId="77777777" w:rsidR="0095141E" w:rsidRDefault="0095141E" w:rsidP="00C774E6"/>
        </w:tc>
        <w:tc>
          <w:tcPr>
            <w:tcW w:w="3182" w:type="dxa"/>
            <w:vMerge/>
            <w:vAlign w:val="center"/>
          </w:tcPr>
          <w:p w14:paraId="73A212F0" w14:textId="77777777" w:rsidR="0095141E" w:rsidRDefault="0095141E" w:rsidP="00C774E6"/>
        </w:tc>
        <w:tc>
          <w:tcPr>
            <w:tcW w:w="4680" w:type="dxa"/>
            <w:vAlign w:val="center"/>
          </w:tcPr>
          <w:p w14:paraId="2BBD649E" w14:textId="77777777" w:rsidR="0095141E" w:rsidRPr="006E5863" w:rsidRDefault="0095141E" w:rsidP="0095141E">
            <w:pPr>
              <w:pStyle w:val="ListParagraph"/>
              <w:numPr>
                <w:ilvl w:val="0"/>
                <w:numId w:val="18"/>
              </w:numPr>
              <w:ind w:left="342" w:hanging="270"/>
            </w:pPr>
            <w:r w:rsidRPr="006E5863">
              <w:t>Implementing the PES scheme</w:t>
            </w:r>
          </w:p>
          <w:p w14:paraId="1BC9DCBD" w14:textId="77777777" w:rsidR="0095141E" w:rsidRPr="006E5863" w:rsidRDefault="0095141E" w:rsidP="0095141E">
            <w:pPr>
              <w:pStyle w:val="ListParagraph"/>
              <w:numPr>
                <w:ilvl w:val="0"/>
                <w:numId w:val="18"/>
              </w:numPr>
              <w:ind w:left="342" w:hanging="270"/>
            </w:pPr>
            <w:r w:rsidRPr="006E5863">
              <w:t>Monitoring and evaluation</w:t>
            </w:r>
          </w:p>
          <w:p w14:paraId="2A26023F" w14:textId="77777777" w:rsidR="0095141E" w:rsidRPr="006E5863" w:rsidRDefault="0095141E" w:rsidP="0095141E">
            <w:pPr>
              <w:pStyle w:val="ListParagraph"/>
              <w:numPr>
                <w:ilvl w:val="0"/>
                <w:numId w:val="18"/>
              </w:numPr>
              <w:ind w:left="342" w:hanging="270"/>
            </w:pPr>
            <w:r w:rsidRPr="006E5863">
              <w:t>Documentation and replication of the scheme</w:t>
            </w:r>
          </w:p>
        </w:tc>
        <w:tc>
          <w:tcPr>
            <w:tcW w:w="1260" w:type="dxa"/>
            <w:vMerge/>
            <w:vAlign w:val="center"/>
          </w:tcPr>
          <w:p w14:paraId="0F30FE96" w14:textId="77777777" w:rsidR="0095141E" w:rsidRDefault="0095141E" w:rsidP="00C774E6"/>
        </w:tc>
        <w:tc>
          <w:tcPr>
            <w:tcW w:w="1260" w:type="dxa"/>
            <w:vMerge/>
            <w:vAlign w:val="center"/>
          </w:tcPr>
          <w:p w14:paraId="65A36FD8" w14:textId="77777777" w:rsidR="0095141E" w:rsidRDefault="0095141E" w:rsidP="00C774E6"/>
        </w:tc>
        <w:tc>
          <w:tcPr>
            <w:tcW w:w="1308" w:type="dxa"/>
            <w:vMerge/>
            <w:vAlign w:val="center"/>
          </w:tcPr>
          <w:p w14:paraId="4A06A9E1" w14:textId="77777777" w:rsidR="0095141E" w:rsidRDefault="0095141E" w:rsidP="00C774E6"/>
        </w:tc>
      </w:tr>
      <w:tr w:rsidR="0095141E" w14:paraId="660EE45F" w14:textId="77777777" w:rsidTr="00C774E6">
        <w:tc>
          <w:tcPr>
            <w:tcW w:w="538" w:type="dxa"/>
            <w:vMerge w:val="restart"/>
            <w:vAlign w:val="center"/>
          </w:tcPr>
          <w:p w14:paraId="04FB044C" w14:textId="77777777" w:rsidR="0095141E" w:rsidRDefault="0095141E" w:rsidP="00C774E6">
            <w:r>
              <w:t>6B</w:t>
            </w:r>
          </w:p>
        </w:tc>
        <w:tc>
          <w:tcPr>
            <w:tcW w:w="1675" w:type="dxa"/>
            <w:vMerge w:val="restart"/>
            <w:vAlign w:val="center"/>
          </w:tcPr>
          <w:p w14:paraId="2CE07EF3" w14:textId="77777777" w:rsidR="0095141E" w:rsidRPr="007136F3" w:rsidRDefault="0095141E" w:rsidP="00C774E6">
            <w:r w:rsidRPr="007136F3">
              <w:t xml:space="preserve">PES: Payment for watershed management for hydropower generation at </w:t>
            </w:r>
            <w:proofErr w:type="spellStart"/>
            <w:r w:rsidRPr="007136F3">
              <w:t>Moragahakanda</w:t>
            </w:r>
            <w:proofErr w:type="spellEnd"/>
          </w:p>
        </w:tc>
        <w:tc>
          <w:tcPr>
            <w:tcW w:w="3182" w:type="dxa"/>
            <w:vMerge w:val="restart"/>
            <w:vAlign w:val="center"/>
          </w:tcPr>
          <w:p w14:paraId="3B72F19E" w14:textId="77777777" w:rsidR="0095141E" w:rsidRDefault="0095141E" w:rsidP="00C774E6">
            <w:r w:rsidRPr="005E0994">
              <w:t>To improve watershed management through a PES scheme for enhancing and sustaining hydro-power generation by the state-owned power generation sector</w:t>
            </w:r>
          </w:p>
        </w:tc>
        <w:tc>
          <w:tcPr>
            <w:tcW w:w="4680" w:type="dxa"/>
            <w:vAlign w:val="center"/>
          </w:tcPr>
          <w:p w14:paraId="43ABFCDC" w14:textId="77777777" w:rsidR="0095141E" w:rsidRDefault="0095141E" w:rsidP="00C774E6">
            <w:r>
              <w:t>PHASE 1: Study</w:t>
            </w:r>
          </w:p>
        </w:tc>
        <w:tc>
          <w:tcPr>
            <w:tcW w:w="1260" w:type="dxa"/>
            <w:vMerge w:val="restart"/>
            <w:vAlign w:val="center"/>
          </w:tcPr>
          <w:p w14:paraId="3810622F" w14:textId="77777777" w:rsidR="0095141E" w:rsidRDefault="0095141E" w:rsidP="00C774E6">
            <w:r>
              <w:t>2018-2019</w:t>
            </w:r>
          </w:p>
        </w:tc>
        <w:tc>
          <w:tcPr>
            <w:tcW w:w="1260" w:type="dxa"/>
            <w:vMerge w:val="restart"/>
            <w:vAlign w:val="center"/>
          </w:tcPr>
          <w:p w14:paraId="67936BE1" w14:textId="77777777" w:rsidR="0095141E" w:rsidRDefault="0095141E" w:rsidP="00C774E6">
            <w:r>
              <w:t>58,750</w:t>
            </w:r>
          </w:p>
        </w:tc>
        <w:tc>
          <w:tcPr>
            <w:tcW w:w="1308" w:type="dxa"/>
            <w:vMerge w:val="restart"/>
            <w:vAlign w:val="center"/>
          </w:tcPr>
          <w:p w14:paraId="1D9E8988" w14:textId="77777777" w:rsidR="0095141E" w:rsidRDefault="0095141E" w:rsidP="00C774E6">
            <w:r>
              <w:t>64 million</w:t>
            </w:r>
          </w:p>
        </w:tc>
      </w:tr>
      <w:tr w:rsidR="0095141E" w14:paraId="2A7512C8" w14:textId="77777777" w:rsidTr="00C774E6">
        <w:tc>
          <w:tcPr>
            <w:tcW w:w="538" w:type="dxa"/>
            <w:vMerge/>
            <w:vAlign w:val="center"/>
          </w:tcPr>
          <w:p w14:paraId="645BF2AA" w14:textId="77777777" w:rsidR="0095141E" w:rsidRDefault="0095141E" w:rsidP="00C774E6"/>
        </w:tc>
        <w:tc>
          <w:tcPr>
            <w:tcW w:w="1675" w:type="dxa"/>
            <w:vMerge/>
            <w:vAlign w:val="center"/>
          </w:tcPr>
          <w:p w14:paraId="36796203" w14:textId="77777777" w:rsidR="0095141E" w:rsidRDefault="0095141E" w:rsidP="00C774E6"/>
        </w:tc>
        <w:tc>
          <w:tcPr>
            <w:tcW w:w="3182" w:type="dxa"/>
            <w:vMerge/>
            <w:vAlign w:val="center"/>
          </w:tcPr>
          <w:p w14:paraId="69B1E966" w14:textId="77777777" w:rsidR="0095141E" w:rsidRDefault="0095141E" w:rsidP="00C774E6"/>
        </w:tc>
        <w:tc>
          <w:tcPr>
            <w:tcW w:w="4680" w:type="dxa"/>
            <w:vAlign w:val="center"/>
          </w:tcPr>
          <w:p w14:paraId="6953E5DD" w14:textId="77777777" w:rsidR="0095141E" w:rsidRPr="005E0994" w:rsidRDefault="0095141E" w:rsidP="0095141E">
            <w:pPr>
              <w:pStyle w:val="ListParagraph"/>
              <w:numPr>
                <w:ilvl w:val="0"/>
                <w:numId w:val="19"/>
              </w:numPr>
              <w:ind w:left="384" w:hanging="270"/>
            </w:pPr>
            <w:r w:rsidRPr="005E0994">
              <w:t xml:space="preserve">Assessment of the relevant ecosystems </w:t>
            </w:r>
          </w:p>
          <w:p w14:paraId="52A63A22" w14:textId="77777777" w:rsidR="0095141E" w:rsidRPr="005E0994" w:rsidRDefault="0095141E" w:rsidP="0095141E">
            <w:pPr>
              <w:pStyle w:val="ListParagraph"/>
              <w:numPr>
                <w:ilvl w:val="0"/>
                <w:numId w:val="19"/>
              </w:numPr>
              <w:ind w:left="384" w:hanging="270"/>
            </w:pPr>
            <w:r w:rsidRPr="005E0994">
              <w:t>Identifying buyers and sellers</w:t>
            </w:r>
          </w:p>
          <w:p w14:paraId="4E1104F0" w14:textId="77777777" w:rsidR="0095141E" w:rsidRPr="005E0994" w:rsidRDefault="0095141E" w:rsidP="0095141E">
            <w:pPr>
              <w:pStyle w:val="ListParagraph"/>
              <w:numPr>
                <w:ilvl w:val="0"/>
                <w:numId w:val="19"/>
              </w:numPr>
              <w:ind w:left="384" w:hanging="270"/>
            </w:pPr>
            <w:r w:rsidRPr="005E0994">
              <w:t>Negotiations and entering into agreements</w:t>
            </w:r>
          </w:p>
          <w:p w14:paraId="7DF75C2D" w14:textId="77777777" w:rsidR="0095141E" w:rsidRPr="005E0994" w:rsidRDefault="0095141E" w:rsidP="0095141E">
            <w:pPr>
              <w:pStyle w:val="ListParagraph"/>
              <w:numPr>
                <w:ilvl w:val="0"/>
                <w:numId w:val="19"/>
              </w:numPr>
              <w:ind w:left="384" w:hanging="270"/>
            </w:pPr>
            <w:r w:rsidRPr="005E0994">
              <w:t>Designing the PES mechanism</w:t>
            </w:r>
          </w:p>
          <w:p w14:paraId="15982742" w14:textId="77777777" w:rsidR="0095141E" w:rsidRPr="005E0994" w:rsidRDefault="0095141E" w:rsidP="0095141E">
            <w:pPr>
              <w:pStyle w:val="ListParagraph"/>
              <w:numPr>
                <w:ilvl w:val="0"/>
                <w:numId w:val="19"/>
              </w:numPr>
              <w:ind w:left="384" w:hanging="270"/>
            </w:pPr>
            <w:r w:rsidRPr="005E0994">
              <w:t>Institutional and policy analysis</w:t>
            </w:r>
          </w:p>
        </w:tc>
        <w:tc>
          <w:tcPr>
            <w:tcW w:w="1260" w:type="dxa"/>
            <w:vMerge/>
            <w:vAlign w:val="center"/>
          </w:tcPr>
          <w:p w14:paraId="0926BAAA" w14:textId="77777777" w:rsidR="0095141E" w:rsidRDefault="0095141E" w:rsidP="00C774E6"/>
        </w:tc>
        <w:tc>
          <w:tcPr>
            <w:tcW w:w="1260" w:type="dxa"/>
            <w:vMerge/>
            <w:vAlign w:val="center"/>
          </w:tcPr>
          <w:p w14:paraId="2DD3BB44" w14:textId="77777777" w:rsidR="0095141E" w:rsidRDefault="0095141E" w:rsidP="00C774E6"/>
        </w:tc>
        <w:tc>
          <w:tcPr>
            <w:tcW w:w="1308" w:type="dxa"/>
            <w:vMerge/>
            <w:vAlign w:val="center"/>
          </w:tcPr>
          <w:p w14:paraId="2EC3D953" w14:textId="77777777" w:rsidR="0095141E" w:rsidRDefault="0095141E" w:rsidP="00C774E6"/>
        </w:tc>
      </w:tr>
      <w:tr w:rsidR="0095141E" w14:paraId="73C17DA2" w14:textId="77777777" w:rsidTr="00C774E6">
        <w:tc>
          <w:tcPr>
            <w:tcW w:w="538" w:type="dxa"/>
            <w:vMerge/>
            <w:vAlign w:val="center"/>
          </w:tcPr>
          <w:p w14:paraId="685E3D06" w14:textId="77777777" w:rsidR="0095141E" w:rsidRDefault="0095141E" w:rsidP="00C774E6"/>
        </w:tc>
        <w:tc>
          <w:tcPr>
            <w:tcW w:w="1675" w:type="dxa"/>
            <w:vMerge/>
            <w:vAlign w:val="center"/>
          </w:tcPr>
          <w:p w14:paraId="0257FC21" w14:textId="77777777" w:rsidR="0095141E" w:rsidRDefault="0095141E" w:rsidP="00C774E6"/>
        </w:tc>
        <w:tc>
          <w:tcPr>
            <w:tcW w:w="3182" w:type="dxa"/>
            <w:vMerge/>
            <w:vAlign w:val="center"/>
          </w:tcPr>
          <w:p w14:paraId="04703584" w14:textId="77777777" w:rsidR="0095141E" w:rsidRDefault="0095141E" w:rsidP="00C774E6"/>
        </w:tc>
        <w:tc>
          <w:tcPr>
            <w:tcW w:w="4680" w:type="dxa"/>
            <w:vAlign w:val="center"/>
          </w:tcPr>
          <w:p w14:paraId="5FC1ACEB" w14:textId="77777777" w:rsidR="0095141E" w:rsidRDefault="0095141E" w:rsidP="00C774E6">
            <w:r>
              <w:t>PHASE 2: Implementation</w:t>
            </w:r>
          </w:p>
        </w:tc>
        <w:tc>
          <w:tcPr>
            <w:tcW w:w="1260" w:type="dxa"/>
            <w:vMerge w:val="restart"/>
            <w:vAlign w:val="center"/>
          </w:tcPr>
          <w:p w14:paraId="2413AB66" w14:textId="77777777" w:rsidR="0095141E" w:rsidRDefault="0095141E" w:rsidP="00C774E6">
            <w:r>
              <w:t>2019-2021</w:t>
            </w:r>
          </w:p>
        </w:tc>
        <w:tc>
          <w:tcPr>
            <w:tcW w:w="1260" w:type="dxa"/>
            <w:vMerge w:val="restart"/>
            <w:vAlign w:val="center"/>
          </w:tcPr>
          <w:p w14:paraId="21A33229" w14:textId="77777777" w:rsidR="0095141E" w:rsidRDefault="0095141E" w:rsidP="00C774E6">
            <w:r>
              <w:t>100,000</w:t>
            </w:r>
          </w:p>
        </w:tc>
        <w:tc>
          <w:tcPr>
            <w:tcW w:w="1308" w:type="dxa"/>
            <w:vMerge/>
            <w:vAlign w:val="center"/>
          </w:tcPr>
          <w:p w14:paraId="0CC81B06" w14:textId="77777777" w:rsidR="0095141E" w:rsidRDefault="0095141E" w:rsidP="00C774E6"/>
        </w:tc>
      </w:tr>
      <w:tr w:rsidR="0095141E" w14:paraId="1C79DB8F" w14:textId="77777777" w:rsidTr="00C774E6">
        <w:tc>
          <w:tcPr>
            <w:tcW w:w="538" w:type="dxa"/>
            <w:vMerge/>
            <w:vAlign w:val="center"/>
          </w:tcPr>
          <w:p w14:paraId="60FDA27D" w14:textId="77777777" w:rsidR="0095141E" w:rsidRDefault="0095141E" w:rsidP="00C774E6"/>
        </w:tc>
        <w:tc>
          <w:tcPr>
            <w:tcW w:w="1675" w:type="dxa"/>
            <w:vMerge/>
            <w:vAlign w:val="center"/>
          </w:tcPr>
          <w:p w14:paraId="7D4F9250" w14:textId="77777777" w:rsidR="0095141E" w:rsidRDefault="0095141E" w:rsidP="00C774E6"/>
        </w:tc>
        <w:tc>
          <w:tcPr>
            <w:tcW w:w="3182" w:type="dxa"/>
            <w:vMerge/>
            <w:vAlign w:val="center"/>
          </w:tcPr>
          <w:p w14:paraId="70ACFF65" w14:textId="77777777" w:rsidR="0095141E" w:rsidRDefault="0095141E" w:rsidP="00C774E6"/>
        </w:tc>
        <w:tc>
          <w:tcPr>
            <w:tcW w:w="4680" w:type="dxa"/>
            <w:vAlign w:val="center"/>
          </w:tcPr>
          <w:p w14:paraId="37CEBB1B" w14:textId="77777777" w:rsidR="0095141E" w:rsidRPr="00177628" w:rsidRDefault="0095141E" w:rsidP="0095141E">
            <w:pPr>
              <w:pStyle w:val="ListParagraph"/>
              <w:numPr>
                <w:ilvl w:val="0"/>
                <w:numId w:val="22"/>
              </w:numPr>
              <w:ind w:left="384" w:hanging="270"/>
            </w:pPr>
            <w:r w:rsidRPr="00177628">
              <w:t>Validating the PES scheme</w:t>
            </w:r>
          </w:p>
          <w:p w14:paraId="10ECC690" w14:textId="77777777" w:rsidR="0095141E" w:rsidRPr="00177628" w:rsidRDefault="0095141E" w:rsidP="0095141E">
            <w:pPr>
              <w:pStyle w:val="ListParagraph"/>
              <w:numPr>
                <w:ilvl w:val="0"/>
                <w:numId w:val="22"/>
              </w:numPr>
              <w:ind w:left="384" w:hanging="270"/>
            </w:pPr>
            <w:r w:rsidRPr="00177628">
              <w:t>Policy and regulatory reform</w:t>
            </w:r>
          </w:p>
          <w:p w14:paraId="668A4E4A" w14:textId="77777777" w:rsidR="0095141E" w:rsidRPr="00177628" w:rsidRDefault="0095141E" w:rsidP="0095141E">
            <w:pPr>
              <w:pStyle w:val="ListParagraph"/>
              <w:numPr>
                <w:ilvl w:val="0"/>
                <w:numId w:val="22"/>
              </w:numPr>
              <w:ind w:left="384" w:hanging="270"/>
            </w:pPr>
            <w:r w:rsidRPr="00177628">
              <w:t>Implementing the PES scheme</w:t>
            </w:r>
          </w:p>
          <w:p w14:paraId="62EA4DC3" w14:textId="77777777" w:rsidR="0095141E" w:rsidRPr="00177628" w:rsidRDefault="0095141E" w:rsidP="0095141E">
            <w:pPr>
              <w:pStyle w:val="ListParagraph"/>
              <w:numPr>
                <w:ilvl w:val="0"/>
                <w:numId w:val="22"/>
              </w:numPr>
              <w:ind w:left="384" w:hanging="270"/>
            </w:pPr>
            <w:r w:rsidRPr="00177628">
              <w:t>Monitoring and evaluation</w:t>
            </w:r>
          </w:p>
          <w:p w14:paraId="51B62CB9" w14:textId="77777777" w:rsidR="0095141E" w:rsidRPr="00177628" w:rsidRDefault="0095141E" w:rsidP="0095141E">
            <w:pPr>
              <w:pStyle w:val="ListParagraph"/>
              <w:numPr>
                <w:ilvl w:val="0"/>
                <w:numId w:val="22"/>
              </w:numPr>
              <w:ind w:left="384" w:hanging="270"/>
            </w:pPr>
            <w:r w:rsidRPr="00177628">
              <w:t>Developing knowledge products</w:t>
            </w:r>
          </w:p>
        </w:tc>
        <w:tc>
          <w:tcPr>
            <w:tcW w:w="1260" w:type="dxa"/>
            <w:vMerge/>
            <w:vAlign w:val="center"/>
          </w:tcPr>
          <w:p w14:paraId="54DE8AD9" w14:textId="77777777" w:rsidR="0095141E" w:rsidRDefault="0095141E" w:rsidP="00C774E6"/>
        </w:tc>
        <w:tc>
          <w:tcPr>
            <w:tcW w:w="1260" w:type="dxa"/>
            <w:vMerge/>
            <w:vAlign w:val="center"/>
          </w:tcPr>
          <w:p w14:paraId="78819845" w14:textId="77777777" w:rsidR="0095141E" w:rsidRDefault="0095141E" w:rsidP="00C774E6"/>
        </w:tc>
        <w:tc>
          <w:tcPr>
            <w:tcW w:w="1308" w:type="dxa"/>
            <w:vMerge/>
            <w:vAlign w:val="center"/>
          </w:tcPr>
          <w:p w14:paraId="1EBB8F6C" w14:textId="77777777" w:rsidR="0095141E" w:rsidRDefault="0095141E" w:rsidP="00C774E6"/>
        </w:tc>
      </w:tr>
      <w:tr w:rsidR="0095141E" w14:paraId="658FC01D" w14:textId="77777777" w:rsidTr="00C774E6">
        <w:tc>
          <w:tcPr>
            <w:tcW w:w="538" w:type="dxa"/>
            <w:vMerge w:val="restart"/>
            <w:vAlign w:val="center"/>
          </w:tcPr>
          <w:p w14:paraId="09E8AEB5" w14:textId="77777777" w:rsidR="0095141E" w:rsidRDefault="0095141E" w:rsidP="00C774E6">
            <w:r>
              <w:t>6C</w:t>
            </w:r>
          </w:p>
        </w:tc>
        <w:tc>
          <w:tcPr>
            <w:tcW w:w="1675" w:type="dxa"/>
            <w:vMerge w:val="restart"/>
            <w:vAlign w:val="center"/>
          </w:tcPr>
          <w:p w14:paraId="3E82FA3F" w14:textId="77777777" w:rsidR="0095141E" w:rsidRDefault="0095141E" w:rsidP="00C774E6">
            <w:r w:rsidRPr="00411CCC">
              <w:t>Payment for negative externalities of coal power generation</w:t>
            </w:r>
          </w:p>
        </w:tc>
        <w:tc>
          <w:tcPr>
            <w:tcW w:w="3182" w:type="dxa"/>
            <w:vMerge w:val="restart"/>
            <w:vAlign w:val="center"/>
          </w:tcPr>
          <w:p w14:paraId="41C707F9" w14:textId="77777777" w:rsidR="0095141E" w:rsidRDefault="0095141E" w:rsidP="00C774E6">
            <w:r w:rsidRPr="00617979">
              <w:t>To establish a mechanism to arrest negative externalities of coal power generation under the “polluter pays” principle.</w:t>
            </w:r>
          </w:p>
        </w:tc>
        <w:tc>
          <w:tcPr>
            <w:tcW w:w="4680" w:type="dxa"/>
            <w:vAlign w:val="center"/>
          </w:tcPr>
          <w:p w14:paraId="0B89A112" w14:textId="77777777" w:rsidR="0095141E" w:rsidRDefault="0095141E" w:rsidP="00C774E6">
            <w:r>
              <w:t>PHASE 1: Study</w:t>
            </w:r>
          </w:p>
        </w:tc>
        <w:tc>
          <w:tcPr>
            <w:tcW w:w="1260" w:type="dxa"/>
            <w:vMerge w:val="restart"/>
            <w:vAlign w:val="center"/>
          </w:tcPr>
          <w:p w14:paraId="39F4D933" w14:textId="77777777" w:rsidR="0095141E" w:rsidRDefault="0095141E" w:rsidP="00C774E6">
            <w:r>
              <w:t>2018-2019</w:t>
            </w:r>
          </w:p>
        </w:tc>
        <w:tc>
          <w:tcPr>
            <w:tcW w:w="1260" w:type="dxa"/>
            <w:vMerge w:val="restart"/>
            <w:vAlign w:val="center"/>
          </w:tcPr>
          <w:p w14:paraId="013D5312" w14:textId="77777777" w:rsidR="0095141E" w:rsidRDefault="0095141E" w:rsidP="00C774E6">
            <w:r>
              <w:t>31,250</w:t>
            </w:r>
          </w:p>
        </w:tc>
        <w:tc>
          <w:tcPr>
            <w:tcW w:w="1308" w:type="dxa"/>
            <w:vMerge w:val="restart"/>
            <w:vAlign w:val="center"/>
          </w:tcPr>
          <w:p w14:paraId="28A88F57" w14:textId="77777777" w:rsidR="0095141E" w:rsidRDefault="0095141E" w:rsidP="00C774E6">
            <w:r>
              <w:t>12 million</w:t>
            </w:r>
          </w:p>
        </w:tc>
      </w:tr>
      <w:tr w:rsidR="0095141E" w14:paraId="4543FD26" w14:textId="77777777" w:rsidTr="00C774E6">
        <w:tc>
          <w:tcPr>
            <w:tcW w:w="538" w:type="dxa"/>
            <w:vMerge/>
            <w:vAlign w:val="center"/>
          </w:tcPr>
          <w:p w14:paraId="56CA1720" w14:textId="77777777" w:rsidR="0095141E" w:rsidRDefault="0095141E" w:rsidP="00C774E6"/>
        </w:tc>
        <w:tc>
          <w:tcPr>
            <w:tcW w:w="1675" w:type="dxa"/>
            <w:vMerge/>
            <w:vAlign w:val="center"/>
          </w:tcPr>
          <w:p w14:paraId="21E60F14" w14:textId="77777777" w:rsidR="0095141E" w:rsidRDefault="0095141E" w:rsidP="00C774E6"/>
        </w:tc>
        <w:tc>
          <w:tcPr>
            <w:tcW w:w="3182" w:type="dxa"/>
            <w:vMerge/>
            <w:vAlign w:val="center"/>
          </w:tcPr>
          <w:p w14:paraId="11DD2DB0" w14:textId="77777777" w:rsidR="0095141E" w:rsidRDefault="0095141E" w:rsidP="00C774E6"/>
        </w:tc>
        <w:tc>
          <w:tcPr>
            <w:tcW w:w="4680" w:type="dxa"/>
            <w:vAlign w:val="center"/>
          </w:tcPr>
          <w:p w14:paraId="6D2E6DFC" w14:textId="77777777" w:rsidR="0095141E" w:rsidRPr="009015C9" w:rsidRDefault="0095141E" w:rsidP="0095141E">
            <w:pPr>
              <w:pStyle w:val="ListParagraph"/>
              <w:numPr>
                <w:ilvl w:val="0"/>
                <w:numId w:val="20"/>
              </w:numPr>
              <w:ind w:left="384" w:hanging="270"/>
            </w:pPr>
            <w:r w:rsidRPr="009015C9">
              <w:t>Reviewing technical literature</w:t>
            </w:r>
          </w:p>
          <w:p w14:paraId="293E4D77" w14:textId="77777777" w:rsidR="0095141E" w:rsidRPr="009015C9" w:rsidRDefault="0095141E" w:rsidP="0095141E">
            <w:pPr>
              <w:pStyle w:val="ListParagraph"/>
              <w:numPr>
                <w:ilvl w:val="0"/>
                <w:numId w:val="20"/>
              </w:numPr>
              <w:ind w:left="384" w:hanging="270"/>
            </w:pPr>
            <w:r w:rsidRPr="009015C9">
              <w:t>Assessment of coal power generation at Coal Power plant</w:t>
            </w:r>
          </w:p>
          <w:p w14:paraId="562E9DE1" w14:textId="77777777" w:rsidR="0095141E" w:rsidRPr="009015C9" w:rsidRDefault="0095141E" w:rsidP="0095141E">
            <w:pPr>
              <w:pStyle w:val="ListParagraph"/>
              <w:numPr>
                <w:ilvl w:val="0"/>
                <w:numId w:val="20"/>
              </w:numPr>
              <w:ind w:left="384" w:hanging="270"/>
            </w:pPr>
            <w:r w:rsidRPr="009015C9">
              <w:t>Designing the payment system</w:t>
            </w:r>
          </w:p>
          <w:p w14:paraId="556B9DCC" w14:textId="77777777" w:rsidR="0095141E" w:rsidRPr="009015C9" w:rsidRDefault="0095141E" w:rsidP="0095141E">
            <w:pPr>
              <w:pStyle w:val="ListParagraph"/>
              <w:numPr>
                <w:ilvl w:val="0"/>
                <w:numId w:val="20"/>
              </w:numPr>
              <w:ind w:left="384" w:hanging="270"/>
            </w:pPr>
            <w:r w:rsidRPr="009015C9">
              <w:t>Policy and institutional review</w:t>
            </w:r>
          </w:p>
          <w:p w14:paraId="1C918BE1" w14:textId="77777777" w:rsidR="0095141E" w:rsidRPr="009015C9" w:rsidRDefault="0095141E" w:rsidP="0095141E">
            <w:pPr>
              <w:pStyle w:val="ListParagraph"/>
              <w:numPr>
                <w:ilvl w:val="0"/>
                <w:numId w:val="20"/>
              </w:numPr>
              <w:ind w:left="384" w:hanging="270"/>
            </w:pPr>
            <w:r w:rsidRPr="009015C9">
              <w:t>Dissemination of findings and recommendations</w:t>
            </w:r>
          </w:p>
        </w:tc>
        <w:tc>
          <w:tcPr>
            <w:tcW w:w="1260" w:type="dxa"/>
            <w:vMerge/>
            <w:vAlign w:val="center"/>
          </w:tcPr>
          <w:p w14:paraId="16AFF861" w14:textId="77777777" w:rsidR="0095141E" w:rsidRDefault="0095141E" w:rsidP="00C774E6"/>
        </w:tc>
        <w:tc>
          <w:tcPr>
            <w:tcW w:w="1260" w:type="dxa"/>
            <w:vMerge/>
            <w:vAlign w:val="center"/>
          </w:tcPr>
          <w:p w14:paraId="77D85935" w14:textId="77777777" w:rsidR="0095141E" w:rsidRDefault="0095141E" w:rsidP="00C774E6"/>
        </w:tc>
        <w:tc>
          <w:tcPr>
            <w:tcW w:w="1308" w:type="dxa"/>
            <w:vMerge/>
            <w:vAlign w:val="center"/>
          </w:tcPr>
          <w:p w14:paraId="41E33A65" w14:textId="77777777" w:rsidR="0095141E" w:rsidRDefault="0095141E" w:rsidP="00C774E6"/>
        </w:tc>
      </w:tr>
      <w:tr w:rsidR="0095141E" w14:paraId="5B3266DC" w14:textId="77777777" w:rsidTr="00C774E6">
        <w:tc>
          <w:tcPr>
            <w:tcW w:w="538" w:type="dxa"/>
            <w:vMerge/>
            <w:vAlign w:val="center"/>
          </w:tcPr>
          <w:p w14:paraId="5C536715" w14:textId="77777777" w:rsidR="0095141E" w:rsidRDefault="0095141E" w:rsidP="00C774E6"/>
        </w:tc>
        <w:tc>
          <w:tcPr>
            <w:tcW w:w="1675" w:type="dxa"/>
            <w:vMerge/>
            <w:vAlign w:val="center"/>
          </w:tcPr>
          <w:p w14:paraId="06A66706" w14:textId="77777777" w:rsidR="0095141E" w:rsidRDefault="0095141E" w:rsidP="00C774E6"/>
        </w:tc>
        <w:tc>
          <w:tcPr>
            <w:tcW w:w="3182" w:type="dxa"/>
            <w:vMerge/>
            <w:vAlign w:val="center"/>
          </w:tcPr>
          <w:p w14:paraId="38CB1537" w14:textId="77777777" w:rsidR="0095141E" w:rsidRDefault="0095141E" w:rsidP="00C774E6"/>
        </w:tc>
        <w:tc>
          <w:tcPr>
            <w:tcW w:w="4680" w:type="dxa"/>
            <w:vAlign w:val="center"/>
          </w:tcPr>
          <w:p w14:paraId="61F9B61F" w14:textId="77777777" w:rsidR="0095141E" w:rsidRDefault="0095141E" w:rsidP="00C774E6">
            <w:r>
              <w:t>PHASE 2: Implementation</w:t>
            </w:r>
          </w:p>
        </w:tc>
        <w:tc>
          <w:tcPr>
            <w:tcW w:w="1260" w:type="dxa"/>
            <w:vMerge w:val="restart"/>
            <w:vAlign w:val="center"/>
          </w:tcPr>
          <w:p w14:paraId="43CCA69E" w14:textId="77777777" w:rsidR="0095141E" w:rsidRDefault="0095141E" w:rsidP="00C774E6">
            <w:r>
              <w:t>2019-2021</w:t>
            </w:r>
          </w:p>
        </w:tc>
        <w:tc>
          <w:tcPr>
            <w:tcW w:w="1260" w:type="dxa"/>
            <w:vMerge w:val="restart"/>
            <w:vAlign w:val="center"/>
          </w:tcPr>
          <w:p w14:paraId="1D20CFB2" w14:textId="77777777" w:rsidR="0095141E" w:rsidRDefault="0095141E" w:rsidP="00C774E6">
            <w:r>
              <w:t>30,000</w:t>
            </w:r>
          </w:p>
        </w:tc>
        <w:tc>
          <w:tcPr>
            <w:tcW w:w="1308" w:type="dxa"/>
            <w:vMerge/>
            <w:vAlign w:val="center"/>
          </w:tcPr>
          <w:p w14:paraId="0ECCA068" w14:textId="77777777" w:rsidR="0095141E" w:rsidRDefault="0095141E" w:rsidP="00C774E6"/>
        </w:tc>
      </w:tr>
      <w:tr w:rsidR="0095141E" w14:paraId="1328AC2D" w14:textId="77777777" w:rsidTr="00C774E6">
        <w:tc>
          <w:tcPr>
            <w:tcW w:w="538" w:type="dxa"/>
            <w:vMerge/>
            <w:vAlign w:val="center"/>
          </w:tcPr>
          <w:p w14:paraId="37A0DECA" w14:textId="77777777" w:rsidR="0095141E" w:rsidRDefault="0095141E" w:rsidP="00C774E6"/>
        </w:tc>
        <w:tc>
          <w:tcPr>
            <w:tcW w:w="1675" w:type="dxa"/>
            <w:vMerge/>
            <w:vAlign w:val="center"/>
          </w:tcPr>
          <w:p w14:paraId="318FAF32" w14:textId="77777777" w:rsidR="0095141E" w:rsidRDefault="0095141E" w:rsidP="00C774E6"/>
        </w:tc>
        <w:tc>
          <w:tcPr>
            <w:tcW w:w="3182" w:type="dxa"/>
            <w:vMerge/>
            <w:vAlign w:val="center"/>
          </w:tcPr>
          <w:p w14:paraId="7040D366" w14:textId="77777777" w:rsidR="0095141E" w:rsidRDefault="0095141E" w:rsidP="00C774E6"/>
        </w:tc>
        <w:tc>
          <w:tcPr>
            <w:tcW w:w="4680" w:type="dxa"/>
            <w:vAlign w:val="center"/>
          </w:tcPr>
          <w:p w14:paraId="01FADFC7" w14:textId="77777777" w:rsidR="0095141E" w:rsidRPr="009015C9" w:rsidRDefault="0095141E" w:rsidP="0095141E">
            <w:pPr>
              <w:pStyle w:val="ListParagraph"/>
              <w:numPr>
                <w:ilvl w:val="0"/>
                <w:numId w:val="21"/>
              </w:numPr>
              <w:ind w:left="384" w:hanging="270"/>
            </w:pPr>
            <w:r w:rsidRPr="009015C9">
              <w:t>Obtaining the approval for the policies and regulations</w:t>
            </w:r>
          </w:p>
          <w:p w14:paraId="1067822E" w14:textId="77777777" w:rsidR="0095141E" w:rsidRPr="009015C9" w:rsidRDefault="0095141E" w:rsidP="0095141E">
            <w:pPr>
              <w:pStyle w:val="ListParagraph"/>
              <w:numPr>
                <w:ilvl w:val="0"/>
                <w:numId w:val="21"/>
              </w:numPr>
              <w:ind w:left="384" w:hanging="270"/>
            </w:pPr>
            <w:r w:rsidRPr="009015C9">
              <w:t>Establishment of the payment system</w:t>
            </w:r>
          </w:p>
          <w:p w14:paraId="6DF9CA9E" w14:textId="77777777" w:rsidR="0095141E" w:rsidRPr="009015C9" w:rsidRDefault="0095141E" w:rsidP="0095141E">
            <w:pPr>
              <w:pStyle w:val="ListParagraph"/>
              <w:numPr>
                <w:ilvl w:val="0"/>
                <w:numId w:val="21"/>
              </w:numPr>
              <w:ind w:left="384" w:hanging="270"/>
            </w:pPr>
            <w:r w:rsidRPr="009015C9">
              <w:t>Establishment of the application system</w:t>
            </w:r>
          </w:p>
          <w:p w14:paraId="22DF112D" w14:textId="77777777" w:rsidR="0095141E" w:rsidRPr="009015C9" w:rsidRDefault="0095141E" w:rsidP="0095141E">
            <w:pPr>
              <w:pStyle w:val="ListParagraph"/>
              <w:numPr>
                <w:ilvl w:val="0"/>
                <w:numId w:val="21"/>
              </w:numPr>
              <w:ind w:left="384" w:hanging="270"/>
            </w:pPr>
            <w:r w:rsidRPr="009015C9">
              <w:t>Monitoring and evaluation</w:t>
            </w:r>
          </w:p>
        </w:tc>
        <w:tc>
          <w:tcPr>
            <w:tcW w:w="1260" w:type="dxa"/>
            <w:vMerge/>
            <w:vAlign w:val="center"/>
          </w:tcPr>
          <w:p w14:paraId="62A2B5E6" w14:textId="77777777" w:rsidR="0095141E" w:rsidRDefault="0095141E" w:rsidP="00C774E6"/>
        </w:tc>
        <w:tc>
          <w:tcPr>
            <w:tcW w:w="1260" w:type="dxa"/>
            <w:vMerge/>
            <w:vAlign w:val="center"/>
          </w:tcPr>
          <w:p w14:paraId="17292E7F" w14:textId="77777777" w:rsidR="0095141E" w:rsidRDefault="0095141E" w:rsidP="00C774E6"/>
        </w:tc>
        <w:tc>
          <w:tcPr>
            <w:tcW w:w="1308" w:type="dxa"/>
            <w:vMerge/>
            <w:vAlign w:val="center"/>
          </w:tcPr>
          <w:p w14:paraId="21E96DDE" w14:textId="77777777" w:rsidR="0095141E" w:rsidRDefault="0095141E" w:rsidP="00C774E6"/>
        </w:tc>
      </w:tr>
      <w:tr w:rsidR="0095141E" w14:paraId="0641D387" w14:textId="77777777" w:rsidTr="00C774E6">
        <w:tc>
          <w:tcPr>
            <w:tcW w:w="538" w:type="dxa"/>
            <w:vAlign w:val="center"/>
          </w:tcPr>
          <w:p w14:paraId="1A61FB9D" w14:textId="77777777" w:rsidR="0095141E" w:rsidRDefault="0095141E" w:rsidP="00C774E6">
            <w:r>
              <w:t>7</w:t>
            </w:r>
          </w:p>
        </w:tc>
        <w:tc>
          <w:tcPr>
            <w:tcW w:w="1675" w:type="dxa"/>
            <w:vAlign w:val="center"/>
          </w:tcPr>
          <w:p w14:paraId="3BFE7187" w14:textId="77777777" w:rsidR="0095141E" w:rsidRDefault="0095141E" w:rsidP="00C774E6">
            <w:r w:rsidRPr="00633A06">
              <w:t>Green bonds</w:t>
            </w:r>
            <w:r>
              <w:t xml:space="preserve"> (GB)</w:t>
            </w:r>
            <w:r w:rsidRPr="00633A06">
              <w:t>: Issuing international sovereign green bonds</w:t>
            </w:r>
          </w:p>
        </w:tc>
        <w:tc>
          <w:tcPr>
            <w:tcW w:w="3182" w:type="dxa"/>
            <w:vAlign w:val="center"/>
          </w:tcPr>
          <w:p w14:paraId="2B562A6D" w14:textId="77777777" w:rsidR="0095141E" w:rsidRDefault="0095141E" w:rsidP="00C774E6">
            <w:r>
              <w:t>To raise funds from international capital markets by issuing sovereign bonds with a restricted purpose of investing in biodiversity</w:t>
            </w:r>
          </w:p>
        </w:tc>
        <w:tc>
          <w:tcPr>
            <w:tcW w:w="4680" w:type="dxa"/>
            <w:vAlign w:val="center"/>
          </w:tcPr>
          <w:p w14:paraId="23A65E08" w14:textId="77777777" w:rsidR="0095141E" w:rsidRDefault="0095141E" w:rsidP="0095141E">
            <w:pPr>
              <w:pStyle w:val="ListParagraph"/>
              <w:numPr>
                <w:ilvl w:val="0"/>
                <w:numId w:val="21"/>
              </w:numPr>
              <w:ind w:left="304" w:hanging="284"/>
            </w:pPr>
            <w:r>
              <w:t>Studying and recommending a list of projects</w:t>
            </w:r>
          </w:p>
          <w:p w14:paraId="407228DB" w14:textId="77777777" w:rsidR="0095141E" w:rsidRDefault="0095141E" w:rsidP="0095141E">
            <w:pPr>
              <w:pStyle w:val="ListParagraph"/>
              <w:numPr>
                <w:ilvl w:val="0"/>
                <w:numId w:val="21"/>
              </w:numPr>
              <w:ind w:left="304" w:hanging="284"/>
            </w:pPr>
            <w:r>
              <w:t>Estimating financial need for investment</w:t>
            </w:r>
          </w:p>
          <w:p w14:paraId="76962C20" w14:textId="77777777" w:rsidR="0095141E" w:rsidRDefault="0095141E" w:rsidP="0095141E">
            <w:pPr>
              <w:pStyle w:val="ListParagraph"/>
              <w:numPr>
                <w:ilvl w:val="0"/>
                <w:numId w:val="21"/>
              </w:numPr>
              <w:ind w:left="304" w:hanging="284"/>
            </w:pPr>
            <w:r>
              <w:t>Preliminary discussions among main stakeholders</w:t>
            </w:r>
          </w:p>
          <w:p w14:paraId="7A27CE45" w14:textId="77777777" w:rsidR="0095141E" w:rsidRDefault="0095141E" w:rsidP="0095141E">
            <w:pPr>
              <w:pStyle w:val="ListParagraph"/>
              <w:numPr>
                <w:ilvl w:val="0"/>
                <w:numId w:val="21"/>
              </w:numPr>
              <w:ind w:left="304" w:hanging="284"/>
            </w:pPr>
            <w:r>
              <w:t>Documentation and Cabinet approval</w:t>
            </w:r>
          </w:p>
          <w:p w14:paraId="642116A3" w14:textId="77777777" w:rsidR="0095141E" w:rsidRDefault="0095141E" w:rsidP="0095141E">
            <w:pPr>
              <w:pStyle w:val="ListParagraph"/>
              <w:numPr>
                <w:ilvl w:val="0"/>
                <w:numId w:val="21"/>
              </w:numPr>
              <w:ind w:left="304" w:hanging="284"/>
            </w:pPr>
            <w:r>
              <w:t>Appointing Steering Committee (SC) and Technical Committee (TE)</w:t>
            </w:r>
          </w:p>
          <w:p w14:paraId="646E68DE" w14:textId="77777777" w:rsidR="0095141E" w:rsidRDefault="0095141E" w:rsidP="0095141E">
            <w:pPr>
              <w:pStyle w:val="ListParagraph"/>
              <w:numPr>
                <w:ilvl w:val="0"/>
                <w:numId w:val="21"/>
              </w:numPr>
              <w:ind w:left="304" w:hanging="284"/>
            </w:pPr>
            <w:r>
              <w:t>Appointing Lead Managers</w:t>
            </w:r>
          </w:p>
          <w:p w14:paraId="7AB9FDF0" w14:textId="77777777" w:rsidR="0095141E" w:rsidRDefault="0095141E" w:rsidP="0095141E">
            <w:pPr>
              <w:pStyle w:val="ListParagraph"/>
              <w:numPr>
                <w:ilvl w:val="0"/>
                <w:numId w:val="21"/>
              </w:numPr>
              <w:ind w:left="304" w:hanging="284"/>
            </w:pPr>
            <w:r>
              <w:t>Documentation and Monetary Board approval</w:t>
            </w:r>
          </w:p>
          <w:p w14:paraId="4C4FD29A" w14:textId="77777777" w:rsidR="0095141E" w:rsidRDefault="0095141E" w:rsidP="0095141E">
            <w:pPr>
              <w:pStyle w:val="ListParagraph"/>
              <w:numPr>
                <w:ilvl w:val="0"/>
                <w:numId w:val="21"/>
              </w:numPr>
              <w:ind w:left="304" w:hanging="284"/>
            </w:pPr>
            <w:r>
              <w:t>Final Cabinet approval</w:t>
            </w:r>
          </w:p>
          <w:p w14:paraId="2D4F45DF" w14:textId="77777777" w:rsidR="0095141E" w:rsidRDefault="0095141E" w:rsidP="0095141E">
            <w:pPr>
              <w:pStyle w:val="ListParagraph"/>
              <w:numPr>
                <w:ilvl w:val="0"/>
                <w:numId w:val="21"/>
              </w:numPr>
              <w:ind w:left="304" w:hanging="284"/>
            </w:pPr>
            <w:r>
              <w:t>Preparing execution plan</w:t>
            </w:r>
          </w:p>
          <w:p w14:paraId="55385361" w14:textId="77777777" w:rsidR="0095141E" w:rsidRDefault="0095141E" w:rsidP="0095141E">
            <w:pPr>
              <w:pStyle w:val="ListParagraph"/>
              <w:numPr>
                <w:ilvl w:val="0"/>
                <w:numId w:val="21"/>
              </w:numPr>
              <w:ind w:left="304" w:hanging="284"/>
            </w:pPr>
            <w:r>
              <w:t>Meeting with market players</w:t>
            </w:r>
          </w:p>
          <w:p w14:paraId="6CE38222" w14:textId="77777777" w:rsidR="0095141E" w:rsidRDefault="0095141E" w:rsidP="0095141E">
            <w:pPr>
              <w:pStyle w:val="ListParagraph"/>
              <w:numPr>
                <w:ilvl w:val="0"/>
                <w:numId w:val="21"/>
              </w:numPr>
              <w:ind w:left="304" w:hanging="284"/>
            </w:pPr>
            <w:r>
              <w:t>Issuing the green bond</w:t>
            </w:r>
          </w:p>
          <w:p w14:paraId="6F0440A5" w14:textId="77777777" w:rsidR="0095141E" w:rsidRDefault="0095141E" w:rsidP="0095141E">
            <w:pPr>
              <w:pStyle w:val="ListParagraph"/>
              <w:numPr>
                <w:ilvl w:val="0"/>
                <w:numId w:val="21"/>
              </w:numPr>
              <w:ind w:left="304" w:hanging="284"/>
            </w:pPr>
            <w:r>
              <w:t>Mobilization of funds to CBSL/Treasury</w:t>
            </w:r>
          </w:p>
          <w:p w14:paraId="1130E22B" w14:textId="77777777" w:rsidR="0095141E" w:rsidRDefault="0095141E" w:rsidP="0095141E">
            <w:pPr>
              <w:pStyle w:val="ListParagraph"/>
              <w:numPr>
                <w:ilvl w:val="0"/>
                <w:numId w:val="21"/>
              </w:numPr>
              <w:ind w:left="304" w:hanging="284"/>
            </w:pPr>
            <w:r>
              <w:t>Disbursement of funds from Treasury</w:t>
            </w:r>
          </w:p>
          <w:p w14:paraId="1B615893" w14:textId="77777777" w:rsidR="0095141E" w:rsidRDefault="0095141E" w:rsidP="0095141E">
            <w:pPr>
              <w:pStyle w:val="ListParagraph"/>
              <w:numPr>
                <w:ilvl w:val="0"/>
                <w:numId w:val="21"/>
              </w:numPr>
              <w:ind w:left="304" w:hanging="284"/>
            </w:pPr>
            <w:r>
              <w:t>Investing in projects</w:t>
            </w:r>
          </w:p>
          <w:p w14:paraId="008FC7CA" w14:textId="77777777" w:rsidR="0095141E" w:rsidRPr="0030494D" w:rsidRDefault="0095141E" w:rsidP="0095141E">
            <w:pPr>
              <w:pStyle w:val="ListParagraph"/>
              <w:numPr>
                <w:ilvl w:val="0"/>
                <w:numId w:val="21"/>
              </w:numPr>
              <w:ind w:left="304" w:hanging="284"/>
            </w:pPr>
            <w:r>
              <w:t>Monitoring and evaluation</w:t>
            </w:r>
          </w:p>
        </w:tc>
        <w:tc>
          <w:tcPr>
            <w:tcW w:w="1260" w:type="dxa"/>
            <w:vAlign w:val="center"/>
          </w:tcPr>
          <w:p w14:paraId="26F02F54" w14:textId="77777777" w:rsidR="0095141E" w:rsidRDefault="0095141E" w:rsidP="00C774E6">
            <w:r>
              <w:t>2019-2024</w:t>
            </w:r>
          </w:p>
        </w:tc>
        <w:tc>
          <w:tcPr>
            <w:tcW w:w="1260" w:type="dxa"/>
            <w:vAlign w:val="center"/>
          </w:tcPr>
          <w:p w14:paraId="67548407" w14:textId="77777777" w:rsidR="0095141E" w:rsidRDefault="0095141E" w:rsidP="00C774E6">
            <w:r>
              <w:t>120,000</w:t>
            </w:r>
          </w:p>
        </w:tc>
        <w:tc>
          <w:tcPr>
            <w:tcW w:w="1308" w:type="dxa"/>
            <w:vAlign w:val="center"/>
          </w:tcPr>
          <w:p w14:paraId="3059F612" w14:textId="77777777" w:rsidR="0095141E" w:rsidRDefault="0095141E" w:rsidP="00C774E6">
            <w:r>
              <w:t>100 million</w:t>
            </w:r>
          </w:p>
        </w:tc>
      </w:tr>
      <w:tr w:rsidR="0095141E" w14:paraId="76D098DA" w14:textId="77777777" w:rsidTr="00C774E6">
        <w:tc>
          <w:tcPr>
            <w:tcW w:w="538" w:type="dxa"/>
            <w:vAlign w:val="center"/>
          </w:tcPr>
          <w:p w14:paraId="265CA45B" w14:textId="77777777" w:rsidR="0095141E" w:rsidRDefault="0095141E" w:rsidP="00C774E6">
            <w:r>
              <w:t>8</w:t>
            </w:r>
          </w:p>
        </w:tc>
        <w:tc>
          <w:tcPr>
            <w:tcW w:w="1675" w:type="dxa"/>
            <w:vAlign w:val="center"/>
          </w:tcPr>
          <w:p w14:paraId="4B1A0762" w14:textId="77777777" w:rsidR="0095141E" w:rsidRDefault="0095141E" w:rsidP="00C774E6">
            <w:r w:rsidRPr="00301E10">
              <w:t>Eco-tourism</w:t>
            </w:r>
            <w:r>
              <w:t xml:space="preserve"> (ET)</w:t>
            </w:r>
            <w:r w:rsidRPr="00301E10">
              <w:t>: Promoting ecotourism practices in the small-scale accommodation sector</w:t>
            </w:r>
          </w:p>
        </w:tc>
        <w:tc>
          <w:tcPr>
            <w:tcW w:w="3182" w:type="dxa"/>
            <w:vAlign w:val="center"/>
          </w:tcPr>
          <w:p w14:paraId="409A09A7" w14:textId="77777777" w:rsidR="0095141E" w:rsidRDefault="0095141E" w:rsidP="00C774E6">
            <w:r w:rsidRPr="00401A02">
              <w:t>To promote “nature-based” tourism services with emphasis on conservation and sustainable use of biodiversity and ecosystems.</w:t>
            </w:r>
          </w:p>
        </w:tc>
        <w:tc>
          <w:tcPr>
            <w:tcW w:w="4680" w:type="dxa"/>
            <w:vAlign w:val="center"/>
          </w:tcPr>
          <w:p w14:paraId="70711758" w14:textId="77777777" w:rsidR="0095141E" w:rsidRDefault="0095141E" w:rsidP="0095141E">
            <w:pPr>
              <w:pStyle w:val="ListParagraph"/>
              <w:numPr>
                <w:ilvl w:val="0"/>
                <w:numId w:val="23"/>
              </w:numPr>
              <w:ind w:left="304" w:hanging="284"/>
            </w:pPr>
            <w:r>
              <w:t xml:space="preserve">Studying the ecotourism and financing issues </w:t>
            </w:r>
          </w:p>
          <w:p w14:paraId="3D997657" w14:textId="77777777" w:rsidR="0095141E" w:rsidRDefault="0095141E" w:rsidP="0095141E">
            <w:pPr>
              <w:pStyle w:val="ListParagraph"/>
              <w:numPr>
                <w:ilvl w:val="0"/>
                <w:numId w:val="23"/>
              </w:numPr>
              <w:ind w:left="304" w:hanging="284"/>
            </w:pPr>
            <w:r>
              <w:t>Designing the ecotourism road map</w:t>
            </w:r>
          </w:p>
          <w:p w14:paraId="435DCCAF" w14:textId="77777777" w:rsidR="0095141E" w:rsidRDefault="0095141E" w:rsidP="0095141E">
            <w:pPr>
              <w:pStyle w:val="ListParagraph"/>
              <w:numPr>
                <w:ilvl w:val="0"/>
                <w:numId w:val="23"/>
              </w:numPr>
              <w:ind w:left="304" w:hanging="284"/>
            </w:pPr>
            <w:r>
              <w:t>Stakeholder consultation and validation</w:t>
            </w:r>
          </w:p>
          <w:p w14:paraId="008230B1" w14:textId="77777777" w:rsidR="0095141E" w:rsidRDefault="0095141E" w:rsidP="0095141E">
            <w:pPr>
              <w:pStyle w:val="ListParagraph"/>
              <w:numPr>
                <w:ilvl w:val="0"/>
                <w:numId w:val="23"/>
              </w:numPr>
              <w:ind w:left="304" w:hanging="284"/>
            </w:pPr>
            <w:r>
              <w:t>Government approval</w:t>
            </w:r>
          </w:p>
          <w:p w14:paraId="1D92A4FC" w14:textId="77777777" w:rsidR="0095141E" w:rsidRDefault="0095141E" w:rsidP="0095141E">
            <w:pPr>
              <w:pStyle w:val="ListParagraph"/>
              <w:numPr>
                <w:ilvl w:val="0"/>
                <w:numId w:val="23"/>
              </w:numPr>
              <w:ind w:left="304" w:hanging="284"/>
            </w:pPr>
            <w:r>
              <w:t>Preparing guidelines and user manuals</w:t>
            </w:r>
          </w:p>
          <w:p w14:paraId="1DD0113F" w14:textId="77777777" w:rsidR="0095141E" w:rsidRDefault="0095141E" w:rsidP="0095141E">
            <w:pPr>
              <w:pStyle w:val="ListParagraph"/>
              <w:numPr>
                <w:ilvl w:val="0"/>
                <w:numId w:val="23"/>
              </w:numPr>
              <w:ind w:left="304" w:hanging="284"/>
            </w:pPr>
            <w:r>
              <w:t>Training the trainers</w:t>
            </w:r>
          </w:p>
          <w:p w14:paraId="5232579E" w14:textId="77777777" w:rsidR="0095141E" w:rsidRDefault="0095141E" w:rsidP="0095141E">
            <w:pPr>
              <w:pStyle w:val="ListParagraph"/>
              <w:numPr>
                <w:ilvl w:val="0"/>
                <w:numId w:val="23"/>
              </w:numPr>
              <w:ind w:left="304" w:hanging="284"/>
            </w:pPr>
            <w:r>
              <w:t>National conference on ecotourism potentials</w:t>
            </w:r>
          </w:p>
          <w:p w14:paraId="705833A8" w14:textId="77777777" w:rsidR="0095141E" w:rsidRDefault="0095141E" w:rsidP="0095141E">
            <w:pPr>
              <w:pStyle w:val="ListParagraph"/>
              <w:numPr>
                <w:ilvl w:val="0"/>
                <w:numId w:val="23"/>
              </w:numPr>
              <w:ind w:left="304" w:hanging="284"/>
            </w:pPr>
            <w:r>
              <w:t>Capacity building programmes</w:t>
            </w:r>
          </w:p>
          <w:p w14:paraId="02C2A1BB" w14:textId="77777777" w:rsidR="0095141E" w:rsidRDefault="0095141E" w:rsidP="0095141E">
            <w:pPr>
              <w:pStyle w:val="ListParagraph"/>
              <w:numPr>
                <w:ilvl w:val="0"/>
                <w:numId w:val="23"/>
              </w:numPr>
              <w:ind w:left="304" w:hanging="284"/>
            </w:pPr>
            <w:r>
              <w:t>Database with customer reviewing</w:t>
            </w:r>
          </w:p>
          <w:p w14:paraId="7FC33369" w14:textId="77777777" w:rsidR="0095141E" w:rsidRPr="00401A02" w:rsidRDefault="0095141E" w:rsidP="0095141E">
            <w:pPr>
              <w:pStyle w:val="ListParagraph"/>
              <w:numPr>
                <w:ilvl w:val="0"/>
                <w:numId w:val="23"/>
              </w:numPr>
              <w:ind w:left="304" w:hanging="284"/>
            </w:pPr>
            <w:r>
              <w:t>Monitoring and evaluation including biodiversity impacts by authorities</w:t>
            </w:r>
          </w:p>
        </w:tc>
        <w:tc>
          <w:tcPr>
            <w:tcW w:w="1260" w:type="dxa"/>
            <w:vAlign w:val="center"/>
          </w:tcPr>
          <w:p w14:paraId="7E9830FD" w14:textId="77777777" w:rsidR="0095141E" w:rsidRDefault="0095141E" w:rsidP="00C774E6">
            <w:r>
              <w:t>2019-2022</w:t>
            </w:r>
          </w:p>
        </w:tc>
        <w:tc>
          <w:tcPr>
            <w:tcW w:w="1260" w:type="dxa"/>
            <w:vAlign w:val="center"/>
          </w:tcPr>
          <w:p w14:paraId="2F9C55C5" w14:textId="77777777" w:rsidR="0095141E" w:rsidRDefault="0095141E" w:rsidP="00C774E6">
            <w:r>
              <w:t>200,000</w:t>
            </w:r>
          </w:p>
        </w:tc>
        <w:tc>
          <w:tcPr>
            <w:tcW w:w="1308" w:type="dxa"/>
            <w:vAlign w:val="center"/>
          </w:tcPr>
          <w:p w14:paraId="1B9323C9" w14:textId="77777777" w:rsidR="0095141E" w:rsidRDefault="0095141E" w:rsidP="00C774E6">
            <w:r>
              <w:t>29 million</w:t>
            </w:r>
          </w:p>
        </w:tc>
      </w:tr>
      <w:tr w:rsidR="0095141E" w14:paraId="56552F44" w14:textId="77777777" w:rsidTr="00C774E6">
        <w:tc>
          <w:tcPr>
            <w:tcW w:w="538" w:type="dxa"/>
            <w:vAlign w:val="center"/>
          </w:tcPr>
          <w:p w14:paraId="3B84E44C" w14:textId="77777777" w:rsidR="0095141E" w:rsidRDefault="0095141E" w:rsidP="00C774E6">
            <w:r>
              <w:t>9A</w:t>
            </w:r>
          </w:p>
        </w:tc>
        <w:tc>
          <w:tcPr>
            <w:tcW w:w="1675" w:type="dxa"/>
            <w:vAlign w:val="center"/>
          </w:tcPr>
          <w:p w14:paraId="7437103F" w14:textId="77777777" w:rsidR="0095141E" w:rsidRDefault="0095141E" w:rsidP="00C774E6">
            <w:r w:rsidRPr="00F40BCE">
              <w:t>Conservation license plates</w:t>
            </w:r>
            <w:r>
              <w:t xml:space="preserve"> (CLP)</w:t>
            </w:r>
            <w:r w:rsidRPr="00F40BCE">
              <w:t>: Green license plates for motor vehicles</w:t>
            </w:r>
          </w:p>
        </w:tc>
        <w:tc>
          <w:tcPr>
            <w:tcW w:w="3182" w:type="dxa"/>
            <w:vAlign w:val="center"/>
          </w:tcPr>
          <w:p w14:paraId="7F773C84" w14:textId="77777777" w:rsidR="0095141E" w:rsidRDefault="0095141E" w:rsidP="00C774E6">
            <w:r w:rsidRPr="0023602A">
              <w:t>To mobilize funds for investing in biodiversity and to promote social recognition of caring environment</w:t>
            </w:r>
          </w:p>
        </w:tc>
        <w:tc>
          <w:tcPr>
            <w:tcW w:w="4680" w:type="dxa"/>
            <w:vAlign w:val="center"/>
          </w:tcPr>
          <w:p w14:paraId="1C598912" w14:textId="77777777" w:rsidR="0095141E" w:rsidRPr="0023602A" w:rsidRDefault="0095141E" w:rsidP="0095141E">
            <w:pPr>
              <w:pStyle w:val="ListParagraph"/>
              <w:numPr>
                <w:ilvl w:val="0"/>
                <w:numId w:val="24"/>
              </w:numPr>
              <w:ind w:left="384" w:hanging="270"/>
            </w:pPr>
            <w:r w:rsidRPr="0023602A">
              <w:t>Appointing the technical advisory committee (TAC)</w:t>
            </w:r>
          </w:p>
          <w:p w14:paraId="31EC276B" w14:textId="77777777" w:rsidR="0095141E" w:rsidRPr="0023602A" w:rsidRDefault="0095141E" w:rsidP="0095141E">
            <w:pPr>
              <w:pStyle w:val="ListParagraph"/>
              <w:numPr>
                <w:ilvl w:val="0"/>
                <w:numId w:val="24"/>
              </w:numPr>
              <w:ind w:left="384" w:hanging="270"/>
            </w:pPr>
            <w:r w:rsidRPr="0023602A">
              <w:t>Investigating the regulatory mechanism</w:t>
            </w:r>
          </w:p>
          <w:p w14:paraId="4BB11055" w14:textId="77777777" w:rsidR="0095141E" w:rsidRPr="0023602A" w:rsidRDefault="0095141E" w:rsidP="0095141E">
            <w:pPr>
              <w:pStyle w:val="ListParagraph"/>
              <w:numPr>
                <w:ilvl w:val="0"/>
                <w:numId w:val="24"/>
              </w:numPr>
              <w:ind w:left="384" w:hanging="270"/>
            </w:pPr>
            <w:r w:rsidRPr="0023602A">
              <w:t>Carrying out the preliminary study</w:t>
            </w:r>
          </w:p>
          <w:p w14:paraId="62CC6C43" w14:textId="77777777" w:rsidR="0095141E" w:rsidRPr="0023602A" w:rsidRDefault="0095141E" w:rsidP="0095141E">
            <w:pPr>
              <w:pStyle w:val="ListParagraph"/>
              <w:numPr>
                <w:ilvl w:val="0"/>
                <w:numId w:val="24"/>
              </w:numPr>
              <w:ind w:left="384" w:hanging="270"/>
            </w:pPr>
            <w:r w:rsidRPr="0023602A">
              <w:t>Formulating finance mobilization and utilization</w:t>
            </w:r>
          </w:p>
          <w:p w14:paraId="576228F2" w14:textId="77777777" w:rsidR="0095141E" w:rsidRPr="0023602A" w:rsidRDefault="0095141E" w:rsidP="0095141E">
            <w:pPr>
              <w:pStyle w:val="ListParagraph"/>
              <w:numPr>
                <w:ilvl w:val="0"/>
                <w:numId w:val="24"/>
              </w:numPr>
              <w:ind w:left="384" w:hanging="270"/>
            </w:pPr>
            <w:r w:rsidRPr="0023602A">
              <w:t>Verification and approval</w:t>
            </w:r>
          </w:p>
          <w:p w14:paraId="6BC9A740" w14:textId="77777777" w:rsidR="0095141E" w:rsidRPr="0023602A" w:rsidRDefault="0095141E" w:rsidP="0095141E">
            <w:pPr>
              <w:pStyle w:val="ListParagraph"/>
              <w:numPr>
                <w:ilvl w:val="0"/>
                <w:numId w:val="24"/>
              </w:numPr>
              <w:ind w:left="384" w:hanging="270"/>
            </w:pPr>
            <w:r w:rsidRPr="0023602A">
              <w:t>Implementing the scheme for the existing vehicles</w:t>
            </w:r>
          </w:p>
          <w:p w14:paraId="32222C33" w14:textId="77777777" w:rsidR="0095141E" w:rsidRPr="0023602A" w:rsidRDefault="0095141E" w:rsidP="0095141E">
            <w:pPr>
              <w:pStyle w:val="ListParagraph"/>
              <w:numPr>
                <w:ilvl w:val="0"/>
                <w:numId w:val="24"/>
              </w:numPr>
              <w:ind w:left="384" w:hanging="270"/>
            </w:pPr>
            <w:r w:rsidRPr="0023602A">
              <w:t>Implementing the scheme for the newly registering vehicles</w:t>
            </w:r>
          </w:p>
          <w:p w14:paraId="6406745F" w14:textId="77777777" w:rsidR="0095141E" w:rsidRPr="0023602A" w:rsidRDefault="0095141E" w:rsidP="0095141E">
            <w:pPr>
              <w:pStyle w:val="ListParagraph"/>
              <w:numPr>
                <w:ilvl w:val="0"/>
                <w:numId w:val="24"/>
              </w:numPr>
              <w:ind w:left="384" w:hanging="270"/>
            </w:pPr>
            <w:r w:rsidRPr="0023602A">
              <w:t>Managing the mobilization of finances and the fund</w:t>
            </w:r>
          </w:p>
          <w:p w14:paraId="66AB442A" w14:textId="77777777" w:rsidR="0095141E" w:rsidRPr="0023602A" w:rsidRDefault="0095141E" w:rsidP="0095141E">
            <w:pPr>
              <w:pStyle w:val="ListParagraph"/>
              <w:numPr>
                <w:ilvl w:val="0"/>
                <w:numId w:val="24"/>
              </w:numPr>
              <w:ind w:left="384" w:hanging="270"/>
            </w:pPr>
            <w:r w:rsidRPr="0023602A">
              <w:t>Designing the biodiversity conservation projects</w:t>
            </w:r>
          </w:p>
          <w:p w14:paraId="5362EF6D" w14:textId="77777777" w:rsidR="0095141E" w:rsidRPr="0023602A" w:rsidRDefault="0095141E" w:rsidP="0095141E">
            <w:pPr>
              <w:pStyle w:val="ListParagraph"/>
              <w:numPr>
                <w:ilvl w:val="0"/>
                <w:numId w:val="24"/>
              </w:numPr>
              <w:ind w:left="384" w:hanging="270"/>
            </w:pPr>
            <w:r w:rsidRPr="0023602A">
              <w:t>Implementation of the approved projects</w:t>
            </w:r>
          </w:p>
          <w:p w14:paraId="1587FF38" w14:textId="77777777" w:rsidR="0095141E" w:rsidRPr="0023602A" w:rsidRDefault="0095141E" w:rsidP="0095141E">
            <w:pPr>
              <w:pStyle w:val="ListParagraph"/>
              <w:numPr>
                <w:ilvl w:val="0"/>
                <w:numId w:val="24"/>
              </w:numPr>
              <w:ind w:left="384" w:hanging="270"/>
            </w:pPr>
            <w:r w:rsidRPr="0023602A">
              <w:t>Monitoring and evaluating the scheme</w:t>
            </w:r>
          </w:p>
        </w:tc>
        <w:tc>
          <w:tcPr>
            <w:tcW w:w="1260" w:type="dxa"/>
            <w:vAlign w:val="center"/>
          </w:tcPr>
          <w:p w14:paraId="1D56B9EC" w14:textId="77777777" w:rsidR="0095141E" w:rsidRDefault="0095141E" w:rsidP="00C774E6">
            <w:r>
              <w:t>2019-2022</w:t>
            </w:r>
          </w:p>
        </w:tc>
        <w:tc>
          <w:tcPr>
            <w:tcW w:w="1260" w:type="dxa"/>
            <w:vAlign w:val="center"/>
          </w:tcPr>
          <w:p w14:paraId="23275D84" w14:textId="77777777" w:rsidR="0095141E" w:rsidRDefault="0095141E" w:rsidP="00C774E6">
            <w:r>
              <w:t>30,000</w:t>
            </w:r>
          </w:p>
        </w:tc>
        <w:tc>
          <w:tcPr>
            <w:tcW w:w="1308" w:type="dxa"/>
            <w:vAlign w:val="center"/>
          </w:tcPr>
          <w:p w14:paraId="383B4F12" w14:textId="77777777" w:rsidR="0095141E" w:rsidRDefault="0095141E" w:rsidP="00C774E6">
            <w:r>
              <w:t>11 million</w:t>
            </w:r>
          </w:p>
        </w:tc>
      </w:tr>
      <w:tr w:rsidR="0095141E" w14:paraId="446F3355" w14:textId="77777777" w:rsidTr="00C774E6">
        <w:tc>
          <w:tcPr>
            <w:tcW w:w="538" w:type="dxa"/>
            <w:vAlign w:val="center"/>
          </w:tcPr>
          <w:p w14:paraId="1D0339B8" w14:textId="77777777" w:rsidR="0095141E" w:rsidRDefault="0095141E" w:rsidP="00C774E6">
            <w:r>
              <w:t>9B</w:t>
            </w:r>
          </w:p>
        </w:tc>
        <w:tc>
          <w:tcPr>
            <w:tcW w:w="1675" w:type="dxa"/>
            <w:vAlign w:val="center"/>
          </w:tcPr>
          <w:p w14:paraId="1FC9FE8B" w14:textId="77777777" w:rsidR="0095141E" w:rsidRDefault="0095141E" w:rsidP="00C774E6">
            <w:r>
              <w:t>Conservation g</w:t>
            </w:r>
            <w:r w:rsidRPr="00DE7859">
              <w:t>reen bank cards</w:t>
            </w:r>
          </w:p>
        </w:tc>
        <w:tc>
          <w:tcPr>
            <w:tcW w:w="3182" w:type="dxa"/>
            <w:vAlign w:val="center"/>
          </w:tcPr>
          <w:p w14:paraId="2336E4E7" w14:textId="77777777" w:rsidR="0095141E" w:rsidRDefault="0095141E" w:rsidP="00C774E6">
            <w:r w:rsidRPr="00DE7859">
              <w:t>To mobilize funds for investing in biodiversity and to promote social recognition of caring environment</w:t>
            </w:r>
          </w:p>
        </w:tc>
        <w:tc>
          <w:tcPr>
            <w:tcW w:w="4680" w:type="dxa"/>
            <w:vAlign w:val="center"/>
          </w:tcPr>
          <w:p w14:paraId="0BF8338F" w14:textId="77777777" w:rsidR="0095141E" w:rsidRDefault="0095141E" w:rsidP="0095141E">
            <w:pPr>
              <w:pStyle w:val="ListParagraph"/>
              <w:numPr>
                <w:ilvl w:val="0"/>
                <w:numId w:val="25"/>
              </w:numPr>
              <w:ind w:left="446"/>
            </w:pPr>
            <w:r>
              <w:t>Carrying out a market demand study</w:t>
            </w:r>
          </w:p>
          <w:p w14:paraId="4BDEACEC" w14:textId="77777777" w:rsidR="0095141E" w:rsidRDefault="0095141E" w:rsidP="0095141E">
            <w:pPr>
              <w:pStyle w:val="ListParagraph"/>
              <w:numPr>
                <w:ilvl w:val="0"/>
                <w:numId w:val="25"/>
              </w:numPr>
              <w:ind w:left="446"/>
            </w:pPr>
            <w:r>
              <w:t xml:space="preserve">Providing recommendations </w:t>
            </w:r>
          </w:p>
          <w:p w14:paraId="389CA783" w14:textId="77777777" w:rsidR="0095141E" w:rsidRDefault="0095141E" w:rsidP="0095141E">
            <w:pPr>
              <w:pStyle w:val="ListParagraph"/>
              <w:numPr>
                <w:ilvl w:val="0"/>
                <w:numId w:val="25"/>
              </w:numPr>
              <w:ind w:left="446"/>
            </w:pPr>
            <w:r>
              <w:t>Information and guidelines</w:t>
            </w:r>
          </w:p>
          <w:p w14:paraId="6CD314E5" w14:textId="77777777" w:rsidR="0095141E" w:rsidRDefault="0095141E" w:rsidP="0095141E">
            <w:pPr>
              <w:pStyle w:val="ListParagraph"/>
              <w:numPr>
                <w:ilvl w:val="0"/>
                <w:numId w:val="25"/>
              </w:numPr>
              <w:ind w:left="446"/>
            </w:pPr>
            <w:r>
              <w:t>Formulating finance mobilization, fund management and, fund utilization</w:t>
            </w:r>
          </w:p>
          <w:p w14:paraId="78D579E4" w14:textId="77777777" w:rsidR="0095141E" w:rsidRDefault="0095141E" w:rsidP="0095141E">
            <w:pPr>
              <w:pStyle w:val="ListParagraph"/>
              <w:numPr>
                <w:ilvl w:val="0"/>
                <w:numId w:val="25"/>
              </w:numPr>
              <w:ind w:left="446"/>
            </w:pPr>
            <w:r>
              <w:t>Verification and approval</w:t>
            </w:r>
          </w:p>
          <w:p w14:paraId="30B224D4" w14:textId="77777777" w:rsidR="0095141E" w:rsidRDefault="0095141E" w:rsidP="0095141E">
            <w:pPr>
              <w:pStyle w:val="ListParagraph"/>
              <w:numPr>
                <w:ilvl w:val="0"/>
                <w:numId w:val="25"/>
              </w:numPr>
              <w:ind w:left="446"/>
            </w:pPr>
            <w:r>
              <w:t>Issuing nature bank cards</w:t>
            </w:r>
          </w:p>
          <w:p w14:paraId="3D3B9C60" w14:textId="77777777" w:rsidR="0095141E" w:rsidRDefault="0095141E" w:rsidP="0095141E">
            <w:pPr>
              <w:pStyle w:val="ListParagraph"/>
              <w:numPr>
                <w:ilvl w:val="0"/>
                <w:numId w:val="25"/>
              </w:numPr>
              <w:ind w:left="446"/>
            </w:pPr>
            <w:r>
              <w:t>Fund management and fund utilization mechanisms</w:t>
            </w:r>
          </w:p>
          <w:p w14:paraId="32EAF408" w14:textId="77777777" w:rsidR="0095141E" w:rsidRDefault="0095141E" w:rsidP="0095141E">
            <w:pPr>
              <w:pStyle w:val="ListParagraph"/>
              <w:numPr>
                <w:ilvl w:val="0"/>
                <w:numId w:val="25"/>
              </w:numPr>
              <w:ind w:left="446"/>
            </w:pPr>
            <w:r>
              <w:t>Identifying the biodiversity conservation projects</w:t>
            </w:r>
          </w:p>
          <w:p w14:paraId="7AA0929F" w14:textId="77777777" w:rsidR="0095141E" w:rsidRDefault="0095141E" w:rsidP="0095141E">
            <w:pPr>
              <w:pStyle w:val="ListParagraph"/>
              <w:numPr>
                <w:ilvl w:val="0"/>
                <w:numId w:val="25"/>
              </w:numPr>
              <w:ind w:left="446"/>
            </w:pPr>
            <w:r>
              <w:t>Implementation of the approved projects</w:t>
            </w:r>
          </w:p>
          <w:p w14:paraId="7D25D50B" w14:textId="77777777" w:rsidR="0095141E" w:rsidRPr="00DE7859" w:rsidRDefault="0095141E" w:rsidP="0095141E">
            <w:pPr>
              <w:pStyle w:val="ListParagraph"/>
              <w:numPr>
                <w:ilvl w:val="0"/>
                <w:numId w:val="25"/>
              </w:numPr>
              <w:ind w:left="446"/>
            </w:pPr>
            <w:r>
              <w:t>Monitoring and evaluating the scheme</w:t>
            </w:r>
          </w:p>
        </w:tc>
        <w:tc>
          <w:tcPr>
            <w:tcW w:w="1260" w:type="dxa"/>
            <w:vAlign w:val="center"/>
          </w:tcPr>
          <w:p w14:paraId="2F6B0DCB" w14:textId="77777777" w:rsidR="0095141E" w:rsidRDefault="0095141E" w:rsidP="00C774E6">
            <w:r>
              <w:t>2019-2022</w:t>
            </w:r>
          </w:p>
        </w:tc>
        <w:tc>
          <w:tcPr>
            <w:tcW w:w="1260" w:type="dxa"/>
            <w:vAlign w:val="center"/>
          </w:tcPr>
          <w:p w14:paraId="38FCF5E5" w14:textId="77777777" w:rsidR="0095141E" w:rsidRDefault="0095141E" w:rsidP="00C774E6">
            <w:r>
              <w:t>30,000</w:t>
            </w:r>
          </w:p>
        </w:tc>
        <w:tc>
          <w:tcPr>
            <w:tcW w:w="1308" w:type="dxa"/>
            <w:vAlign w:val="center"/>
          </w:tcPr>
          <w:p w14:paraId="5B72212A" w14:textId="77777777" w:rsidR="0095141E" w:rsidRDefault="0095141E" w:rsidP="00C774E6">
            <w:r>
              <w:t>3.5 million</w:t>
            </w:r>
          </w:p>
        </w:tc>
      </w:tr>
      <w:tr w:rsidR="0095141E" w14:paraId="53DE0912" w14:textId="77777777" w:rsidTr="00C774E6">
        <w:tc>
          <w:tcPr>
            <w:tcW w:w="538" w:type="dxa"/>
            <w:vAlign w:val="center"/>
          </w:tcPr>
          <w:p w14:paraId="79110D01" w14:textId="77777777" w:rsidR="0095141E" w:rsidRDefault="0095141E" w:rsidP="00C774E6">
            <w:r>
              <w:t>10</w:t>
            </w:r>
          </w:p>
        </w:tc>
        <w:tc>
          <w:tcPr>
            <w:tcW w:w="1675" w:type="dxa"/>
            <w:vAlign w:val="center"/>
          </w:tcPr>
          <w:p w14:paraId="1E2CEA5C" w14:textId="77777777" w:rsidR="0095141E" w:rsidRDefault="0095141E" w:rsidP="00C774E6">
            <w:r w:rsidRPr="00B067C4">
              <w:t>Carbon markets</w:t>
            </w:r>
            <w:r>
              <w:t xml:space="preserve"> (CM)</w:t>
            </w:r>
            <w:r w:rsidRPr="00B067C4">
              <w:t>: Introduction of a voluntary CO2 carbon trading mechanism in Sri Lanka</w:t>
            </w:r>
          </w:p>
        </w:tc>
        <w:tc>
          <w:tcPr>
            <w:tcW w:w="3182" w:type="dxa"/>
            <w:vAlign w:val="center"/>
          </w:tcPr>
          <w:p w14:paraId="3C277CCD" w14:textId="77777777" w:rsidR="0095141E" w:rsidRDefault="0095141E" w:rsidP="00C774E6">
            <w:r w:rsidRPr="00B067C4">
              <w:t>To promote carbon-neutral production and, thereby to generate funds through carbon trading</w:t>
            </w:r>
          </w:p>
        </w:tc>
        <w:tc>
          <w:tcPr>
            <w:tcW w:w="4680" w:type="dxa"/>
            <w:vAlign w:val="center"/>
          </w:tcPr>
          <w:p w14:paraId="51EB92D9" w14:textId="77777777" w:rsidR="0095141E" w:rsidRDefault="0095141E" w:rsidP="0095141E">
            <w:pPr>
              <w:pStyle w:val="ListParagraph"/>
              <w:numPr>
                <w:ilvl w:val="0"/>
                <w:numId w:val="26"/>
              </w:numPr>
              <w:ind w:left="446"/>
            </w:pPr>
            <w:r>
              <w:t>Meeting with the major stakeholders and expertise entities</w:t>
            </w:r>
          </w:p>
          <w:p w14:paraId="556D6885" w14:textId="77777777" w:rsidR="0095141E" w:rsidRDefault="0095141E" w:rsidP="0095141E">
            <w:pPr>
              <w:pStyle w:val="ListParagraph"/>
              <w:numPr>
                <w:ilvl w:val="0"/>
                <w:numId w:val="26"/>
              </w:numPr>
              <w:ind w:left="446"/>
            </w:pPr>
            <w:r>
              <w:t>Establish SC &amp; TC from representatives of the stakeholders</w:t>
            </w:r>
          </w:p>
          <w:p w14:paraId="614FA06A" w14:textId="77777777" w:rsidR="0095141E" w:rsidRDefault="0095141E" w:rsidP="0095141E">
            <w:pPr>
              <w:pStyle w:val="ListParagraph"/>
              <w:numPr>
                <w:ilvl w:val="0"/>
                <w:numId w:val="26"/>
              </w:numPr>
              <w:ind w:left="446"/>
            </w:pPr>
            <w:r>
              <w:t>Carrying out the studies and recommendations</w:t>
            </w:r>
          </w:p>
          <w:p w14:paraId="46C9E424" w14:textId="77777777" w:rsidR="0095141E" w:rsidRDefault="0095141E" w:rsidP="0095141E">
            <w:pPr>
              <w:pStyle w:val="ListParagraph"/>
              <w:numPr>
                <w:ilvl w:val="0"/>
                <w:numId w:val="26"/>
              </w:numPr>
              <w:ind w:left="446"/>
            </w:pPr>
            <w:r>
              <w:t>Institutional and regulatory analysis</w:t>
            </w:r>
          </w:p>
          <w:p w14:paraId="4A42068E" w14:textId="77777777" w:rsidR="0095141E" w:rsidRDefault="0095141E" w:rsidP="0095141E">
            <w:pPr>
              <w:pStyle w:val="ListParagraph"/>
              <w:numPr>
                <w:ilvl w:val="0"/>
                <w:numId w:val="26"/>
              </w:numPr>
              <w:ind w:left="446"/>
            </w:pPr>
            <w:r>
              <w:t>Verification and approval</w:t>
            </w:r>
          </w:p>
          <w:p w14:paraId="62024861" w14:textId="77777777" w:rsidR="0095141E" w:rsidRDefault="0095141E" w:rsidP="0095141E">
            <w:pPr>
              <w:pStyle w:val="ListParagraph"/>
              <w:numPr>
                <w:ilvl w:val="0"/>
                <w:numId w:val="26"/>
              </w:numPr>
              <w:ind w:left="446"/>
            </w:pPr>
            <w:r>
              <w:t>Setting up the institutional mechanism</w:t>
            </w:r>
          </w:p>
          <w:p w14:paraId="0C9FA66E" w14:textId="77777777" w:rsidR="0095141E" w:rsidRDefault="0095141E" w:rsidP="0095141E">
            <w:pPr>
              <w:pStyle w:val="ListParagraph"/>
              <w:numPr>
                <w:ilvl w:val="0"/>
                <w:numId w:val="26"/>
              </w:numPr>
              <w:ind w:left="446"/>
            </w:pPr>
            <w:r>
              <w:t>Listing out the biodiversity conservation projects</w:t>
            </w:r>
          </w:p>
          <w:p w14:paraId="63C080BB" w14:textId="77777777" w:rsidR="0095141E" w:rsidRDefault="0095141E" w:rsidP="0095141E">
            <w:pPr>
              <w:pStyle w:val="ListParagraph"/>
              <w:numPr>
                <w:ilvl w:val="0"/>
                <w:numId w:val="26"/>
              </w:numPr>
              <w:ind w:left="446"/>
            </w:pPr>
            <w:r>
              <w:t>Setting up the database and partner-communication system</w:t>
            </w:r>
          </w:p>
          <w:p w14:paraId="6B177DAB" w14:textId="77777777" w:rsidR="0095141E" w:rsidRDefault="0095141E" w:rsidP="0095141E">
            <w:pPr>
              <w:pStyle w:val="ListParagraph"/>
              <w:numPr>
                <w:ilvl w:val="0"/>
                <w:numId w:val="26"/>
              </w:numPr>
              <w:ind w:left="446"/>
            </w:pPr>
            <w:r>
              <w:t>Launching the carbon market mechanism</w:t>
            </w:r>
          </w:p>
          <w:p w14:paraId="7F3CECFF" w14:textId="77777777" w:rsidR="0095141E" w:rsidRPr="00F53C89" w:rsidRDefault="0095141E" w:rsidP="0095141E">
            <w:pPr>
              <w:pStyle w:val="ListParagraph"/>
              <w:numPr>
                <w:ilvl w:val="0"/>
                <w:numId w:val="26"/>
              </w:numPr>
              <w:ind w:left="446"/>
            </w:pPr>
            <w:r>
              <w:t>Conducting monitoring and evaluation activities</w:t>
            </w:r>
          </w:p>
        </w:tc>
        <w:tc>
          <w:tcPr>
            <w:tcW w:w="1260" w:type="dxa"/>
            <w:vAlign w:val="center"/>
          </w:tcPr>
          <w:p w14:paraId="5F5CF7C8" w14:textId="77777777" w:rsidR="0095141E" w:rsidRDefault="0095141E" w:rsidP="00C774E6">
            <w:r>
              <w:t>2019-2023</w:t>
            </w:r>
          </w:p>
        </w:tc>
        <w:tc>
          <w:tcPr>
            <w:tcW w:w="1260" w:type="dxa"/>
            <w:vAlign w:val="center"/>
          </w:tcPr>
          <w:p w14:paraId="0C9AAB52" w14:textId="77777777" w:rsidR="0095141E" w:rsidRDefault="0095141E" w:rsidP="00C774E6">
            <w:r>
              <w:t>120,000</w:t>
            </w:r>
          </w:p>
        </w:tc>
        <w:tc>
          <w:tcPr>
            <w:tcW w:w="1308" w:type="dxa"/>
            <w:vAlign w:val="center"/>
          </w:tcPr>
          <w:p w14:paraId="24AB1F57" w14:textId="77777777" w:rsidR="0095141E" w:rsidRDefault="0095141E" w:rsidP="00C774E6">
            <w:r>
              <w:t>450,000</w:t>
            </w:r>
          </w:p>
        </w:tc>
      </w:tr>
      <w:tr w:rsidR="0095141E" w14:paraId="42FC2955" w14:textId="77777777" w:rsidTr="00C774E6">
        <w:tc>
          <w:tcPr>
            <w:tcW w:w="538" w:type="dxa"/>
            <w:vAlign w:val="center"/>
          </w:tcPr>
          <w:p w14:paraId="080EE7C9" w14:textId="77777777" w:rsidR="0095141E" w:rsidRDefault="0095141E" w:rsidP="00C774E6">
            <w:r>
              <w:t>11</w:t>
            </w:r>
          </w:p>
        </w:tc>
        <w:tc>
          <w:tcPr>
            <w:tcW w:w="1675" w:type="dxa"/>
            <w:vAlign w:val="center"/>
          </w:tcPr>
          <w:p w14:paraId="3EDEC13E" w14:textId="77777777" w:rsidR="0095141E" w:rsidRDefault="0095141E" w:rsidP="00C774E6">
            <w:r>
              <w:t>Advocacy</w:t>
            </w:r>
            <w:r w:rsidRPr="002756A6">
              <w:t xml:space="preserve"> for public budget allocations </w:t>
            </w:r>
            <w:r>
              <w:t xml:space="preserve">(LOB) </w:t>
            </w:r>
            <w:r w:rsidRPr="002756A6">
              <w:t>for increased spending on biodiversity</w:t>
            </w:r>
          </w:p>
        </w:tc>
        <w:tc>
          <w:tcPr>
            <w:tcW w:w="3182" w:type="dxa"/>
            <w:vAlign w:val="center"/>
          </w:tcPr>
          <w:p w14:paraId="02A83C59" w14:textId="77777777" w:rsidR="0095141E" w:rsidRDefault="0095141E" w:rsidP="00C774E6">
            <w:r w:rsidRPr="002756A6">
              <w:t>To increase government’s annual budgetary allocation for spending on biodiversity</w:t>
            </w:r>
          </w:p>
        </w:tc>
        <w:tc>
          <w:tcPr>
            <w:tcW w:w="4680" w:type="dxa"/>
            <w:vAlign w:val="center"/>
          </w:tcPr>
          <w:p w14:paraId="0B1FC720" w14:textId="77777777" w:rsidR="0095141E" w:rsidRDefault="0095141E" w:rsidP="0095141E">
            <w:pPr>
              <w:pStyle w:val="ListParagraph"/>
              <w:numPr>
                <w:ilvl w:val="0"/>
                <w:numId w:val="27"/>
              </w:numPr>
              <w:ind w:left="446" w:hanging="284"/>
            </w:pPr>
            <w:r>
              <w:t>Selection of implementing agencies</w:t>
            </w:r>
          </w:p>
          <w:p w14:paraId="5D26D138" w14:textId="77777777" w:rsidR="0095141E" w:rsidRDefault="0095141E" w:rsidP="0095141E">
            <w:pPr>
              <w:pStyle w:val="ListParagraph"/>
              <w:numPr>
                <w:ilvl w:val="0"/>
                <w:numId w:val="27"/>
              </w:numPr>
              <w:ind w:left="446" w:hanging="284"/>
            </w:pPr>
            <w:r>
              <w:t>Consultation of the implementing agencies</w:t>
            </w:r>
          </w:p>
          <w:p w14:paraId="353543D3" w14:textId="77777777" w:rsidR="0095141E" w:rsidRDefault="0095141E" w:rsidP="0095141E">
            <w:pPr>
              <w:pStyle w:val="ListParagraph"/>
              <w:numPr>
                <w:ilvl w:val="0"/>
                <w:numId w:val="27"/>
              </w:numPr>
              <w:ind w:left="446" w:hanging="284"/>
            </w:pPr>
            <w:r>
              <w:t>Capacity building on performance-based budgeting for investing in biodiversity</w:t>
            </w:r>
          </w:p>
          <w:p w14:paraId="5777D52F" w14:textId="77777777" w:rsidR="0095141E" w:rsidRDefault="0095141E" w:rsidP="0095141E">
            <w:pPr>
              <w:pStyle w:val="ListParagraph"/>
              <w:numPr>
                <w:ilvl w:val="0"/>
                <w:numId w:val="27"/>
              </w:numPr>
              <w:ind w:left="446" w:hanging="284"/>
            </w:pPr>
            <w:r>
              <w:t>Reviewing the plans and selecting projects</w:t>
            </w:r>
          </w:p>
          <w:p w14:paraId="2B3A5C9E" w14:textId="77777777" w:rsidR="0095141E" w:rsidRDefault="0095141E" w:rsidP="0095141E">
            <w:pPr>
              <w:pStyle w:val="ListParagraph"/>
              <w:numPr>
                <w:ilvl w:val="0"/>
                <w:numId w:val="27"/>
              </w:numPr>
              <w:ind w:left="446" w:hanging="284"/>
            </w:pPr>
            <w:r>
              <w:t>Preparing work plans of the projects</w:t>
            </w:r>
          </w:p>
          <w:p w14:paraId="78FFEC7E" w14:textId="77777777" w:rsidR="0095141E" w:rsidRDefault="0095141E" w:rsidP="0095141E">
            <w:pPr>
              <w:pStyle w:val="ListParagraph"/>
              <w:numPr>
                <w:ilvl w:val="0"/>
                <w:numId w:val="27"/>
              </w:numPr>
              <w:ind w:left="446" w:hanging="284"/>
            </w:pPr>
            <w:r>
              <w:t>Preparing budgetary estimates</w:t>
            </w:r>
          </w:p>
          <w:p w14:paraId="0D20887A" w14:textId="77777777" w:rsidR="0095141E" w:rsidRDefault="0095141E" w:rsidP="0095141E">
            <w:pPr>
              <w:pStyle w:val="ListParagraph"/>
              <w:numPr>
                <w:ilvl w:val="0"/>
                <w:numId w:val="27"/>
              </w:numPr>
              <w:ind w:left="446" w:hanging="284"/>
            </w:pPr>
            <w:r>
              <w:t>Submission of the budgetary estimates to the Ministry of Finance</w:t>
            </w:r>
          </w:p>
          <w:p w14:paraId="3420569C" w14:textId="77777777" w:rsidR="0095141E" w:rsidRDefault="0095141E" w:rsidP="0095141E">
            <w:pPr>
              <w:pStyle w:val="ListParagraph"/>
              <w:numPr>
                <w:ilvl w:val="0"/>
                <w:numId w:val="27"/>
              </w:numPr>
              <w:ind w:left="446" w:hanging="284"/>
            </w:pPr>
            <w:r>
              <w:t>Implementation of approved projects</w:t>
            </w:r>
          </w:p>
          <w:p w14:paraId="57A7718B" w14:textId="77777777" w:rsidR="0095141E" w:rsidRPr="00842EAB" w:rsidRDefault="0095141E" w:rsidP="0095141E">
            <w:pPr>
              <w:pStyle w:val="ListParagraph"/>
              <w:numPr>
                <w:ilvl w:val="0"/>
                <w:numId w:val="27"/>
              </w:numPr>
              <w:ind w:left="446" w:hanging="284"/>
            </w:pPr>
            <w:r>
              <w:t xml:space="preserve">Monitoring an </w:t>
            </w:r>
            <w:proofErr w:type="gramStart"/>
            <w:r>
              <w:t>evaluating activities</w:t>
            </w:r>
            <w:proofErr w:type="gramEnd"/>
          </w:p>
        </w:tc>
        <w:tc>
          <w:tcPr>
            <w:tcW w:w="1260" w:type="dxa"/>
            <w:vAlign w:val="center"/>
          </w:tcPr>
          <w:p w14:paraId="4DBBB74A" w14:textId="77777777" w:rsidR="0095141E" w:rsidRDefault="0095141E" w:rsidP="00C774E6"/>
        </w:tc>
        <w:tc>
          <w:tcPr>
            <w:tcW w:w="1260" w:type="dxa"/>
            <w:vAlign w:val="center"/>
          </w:tcPr>
          <w:p w14:paraId="35736AE6" w14:textId="77777777" w:rsidR="0095141E" w:rsidRDefault="0095141E" w:rsidP="00C774E6">
            <w:r>
              <w:t>40,000</w:t>
            </w:r>
          </w:p>
        </w:tc>
        <w:tc>
          <w:tcPr>
            <w:tcW w:w="1308" w:type="dxa"/>
            <w:vAlign w:val="center"/>
          </w:tcPr>
          <w:p w14:paraId="27D8CB4E" w14:textId="77777777" w:rsidR="0095141E" w:rsidRDefault="0095141E" w:rsidP="00C774E6">
            <w:r>
              <w:t>72 million</w:t>
            </w:r>
          </w:p>
        </w:tc>
      </w:tr>
      <w:tr w:rsidR="0095141E" w14:paraId="53F45DA7" w14:textId="77777777" w:rsidTr="00C774E6">
        <w:tc>
          <w:tcPr>
            <w:tcW w:w="538" w:type="dxa"/>
            <w:vAlign w:val="center"/>
          </w:tcPr>
          <w:p w14:paraId="5ECA6BFB" w14:textId="77777777" w:rsidR="0095141E" w:rsidRDefault="0095141E" w:rsidP="00C774E6">
            <w:r>
              <w:t>12</w:t>
            </w:r>
          </w:p>
        </w:tc>
        <w:tc>
          <w:tcPr>
            <w:tcW w:w="1675" w:type="dxa"/>
            <w:vAlign w:val="center"/>
          </w:tcPr>
          <w:p w14:paraId="169D6EAD" w14:textId="77777777" w:rsidR="0095141E" w:rsidRDefault="0095141E" w:rsidP="00C774E6">
            <w:r w:rsidRPr="001A1648">
              <w:t>Diaspora Financing and investment</w:t>
            </w:r>
            <w:r>
              <w:t xml:space="preserve"> (REM)</w:t>
            </w:r>
            <w:r w:rsidRPr="001A1648">
              <w:t>: mobilization of foreign private remittances</w:t>
            </w:r>
          </w:p>
        </w:tc>
        <w:tc>
          <w:tcPr>
            <w:tcW w:w="3182" w:type="dxa"/>
            <w:vAlign w:val="center"/>
          </w:tcPr>
          <w:p w14:paraId="30ABAB4E" w14:textId="77777777" w:rsidR="0095141E" w:rsidRDefault="0095141E" w:rsidP="00C774E6">
            <w:r w:rsidRPr="001A1648">
              <w:t>To raise international finance from private remittance flows for investing in biodiversity</w:t>
            </w:r>
          </w:p>
        </w:tc>
        <w:tc>
          <w:tcPr>
            <w:tcW w:w="4680" w:type="dxa"/>
            <w:vAlign w:val="center"/>
          </w:tcPr>
          <w:p w14:paraId="44D79B9D" w14:textId="77777777" w:rsidR="0095141E" w:rsidRDefault="0095141E" w:rsidP="0095141E">
            <w:pPr>
              <w:pStyle w:val="ListParagraph"/>
              <w:numPr>
                <w:ilvl w:val="0"/>
                <w:numId w:val="29"/>
              </w:numPr>
              <w:ind w:left="446" w:hanging="284"/>
            </w:pPr>
            <w:r>
              <w:t>Carrying out a study on the proposed mechanism</w:t>
            </w:r>
          </w:p>
          <w:p w14:paraId="1E79AC6E" w14:textId="77777777" w:rsidR="0095141E" w:rsidRDefault="0095141E" w:rsidP="0095141E">
            <w:pPr>
              <w:pStyle w:val="ListParagraph"/>
              <w:numPr>
                <w:ilvl w:val="0"/>
                <w:numId w:val="29"/>
              </w:numPr>
              <w:ind w:left="446" w:hanging="284"/>
            </w:pPr>
            <w:r>
              <w:t>Reviewing the institutional and regulatory mechanism</w:t>
            </w:r>
          </w:p>
          <w:p w14:paraId="3CD8BBFF" w14:textId="77777777" w:rsidR="0095141E" w:rsidRDefault="0095141E" w:rsidP="0095141E">
            <w:pPr>
              <w:pStyle w:val="ListParagraph"/>
              <w:numPr>
                <w:ilvl w:val="0"/>
                <w:numId w:val="29"/>
              </w:numPr>
              <w:ind w:left="446" w:hanging="284"/>
            </w:pPr>
            <w:r>
              <w:t>Listing out the biodiversity conservation programmes</w:t>
            </w:r>
          </w:p>
          <w:p w14:paraId="61B0FCC7" w14:textId="77777777" w:rsidR="0095141E" w:rsidRDefault="0095141E" w:rsidP="0095141E">
            <w:pPr>
              <w:pStyle w:val="ListParagraph"/>
              <w:numPr>
                <w:ilvl w:val="0"/>
                <w:numId w:val="29"/>
              </w:numPr>
              <w:ind w:left="446" w:hanging="284"/>
            </w:pPr>
            <w:r>
              <w:t>Approval for recommendations</w:t>
            </w:r>
          </w:p>
          <w:p w14:paraId="5DDE41A5" w14:textId="77777777" w:rsidR="0095141E" w:rsidRDefault="0095141E" w:rsidP="0095141E">
            <w:pPr>
              <w:pStyle w:val="ListParagraph"/>
              <w:numPr>
                <w:ilvl w:val="0"/>
                <w:numId w:val="29"/>
              </w:numPr>
              <w:ind w:left="446" w:hanging="284"/>
            </w:pPr>
            <w:r>
              <w:t>Stakeholder consultations</w:t>
            </w:r>
          </w:p>
          <w:p w14:paraId="3289519A" w14:textId="77777777" w:rsidR="0095141E" w:rsidRDefault="0095141E" w:rsidP="0095141E">
            <w:pPr>
              <w:pStyle w:val="ListParagraph"/>
              <w:numPr>
                <w:ilvl w:val="0"/>
                <w:numId w:val="29"/>
              </w:numPr>
              <w:ind w:left="446" w:hanging="284"/>
            </w:pPr>
            <w:r>
              <w:t>Designing the savings and investment scheme</w:t>
            </w:r>
          </w:p>
          <w:p w14:paraId="590C41AF" w14:textId="77777777" w:rsidR="0095141E" w:rsidRDefault="0095141E" w:rsidP="0095141E">
            <w:pPr>
              <w:pStyle w:val="ListParagraph"/>
              <w:numPr>
                <w:ilvl w:val="0"/>
                <w:numId w:val="29"/>
              </w:numPr>
              <w:ind w:left="446" w:hanging="284"/>
            </w:pPr>
            <w:r>
              <w:t>Establishing the savings and investment scheme</w:t>
            </w:r>
          </w:p>
          <w:p w14:paraId="4640AE04" w14:textId="77777777" w:rsidR="0095141E" w:rsidRDefault="0095141E" w:rsidP="0095141E">
            <w:pPr>
              <w:pStyle w:val="ListParagraph"/>
              <w:numPr>
                <w:ilvl w:val="0"/>
                <w:numId w:val="29"/>
              </w:numPr>
              <w:ind w:left="446" w:hanging="284"/>
            </w:pPr>
            <w:r>
              <w:t>Launching a promotional campaign</w:t>
            </w:r>
          </w:p>
          <w:p w14:paraId="3A60A852" w14:textId="77777777" w:rsidR="0095141E" w:rsidRDefault="0095141E" w:rsidP="0095141E">
            <w:pPr>
              <w:pStyle w:val="ListParagraph"/>
              <w:numPr>
                <w:ilvl w:val="0"/>
                <w:numId w:val="29"/>
              </w:numPr>
              <w:ind w:left="446" w:hanging="284"/>
            </w:pPr>
            <w:r>
              <w:t>Launching the fund utilization projects</w:t>
            </w:r>
          </w:p>
          <w:p w14:paraId="2926159A" w14:textId="77777777" w:rsidR="0095141E" w:rsidRPr="004110F6" w:rsidRDefault="0095141E" w:rsidP="0095141E">
            <w:pPr>
              <w:pStyle w:val="ListParagraph"/>
              <w:numPr>
                <w:ilvl w:val="0"/>
                <w:numId w:val="29"/>
              </w:numPr>
              <w:ind w:left="446" w:hanging="284"/>
            </w:pPr>
            <w:r>
              <w:t>Monitoring and evaluation</w:t>
            </w:r>
          </w:p>
        </w:tc>
        <w:tc>
          <w:tcPr>
            <w:tcW w:w="1260" w:type="dxa"/>
            <w:vAlign w:val="center"/>
          </w:tcPr>
          <w:p w14:paraId="3517772F" w14:textId="77777777" w:rsidR="0095141E" w:rsidRDefault="0095141E" w:rsidP="00C774E6">
            <w:r>
              <w:t>2019-2021</w:t>
            </w:r>
          </w:p>
        </w:tc>
        <w:tc>
          <w:tcPr>
            <w:tcW w:w="1260" w:type="dxa"/>
            <w:vAlign w:val="center"/>
          </w:tcPr>
          <w:p w14:paraId="60440F6D" w14:textId="77777777" w:rsidR="0095141E" w:rsidRDefault="0095141E" w:rsidP="00C774E6">
            <w:r>
              <w:t>50,000</w:t>
            </w:r>
          </w:p>
        </w:tc>
        <w:tc>
          <w:tcPr>
            <w:tcW w:w="1308" w:type="dxa"/>
            <w:vAlign w:val="center"/>
          </w:tcPr>
          <w:p w14:paraId="2E10C222" w14:textId="77777777" w:rsidR="0095141E" w:rsidRDefault="0095141E" w:rsidP="00C774E6">
            <w:r>
              <w:t>280 million</w:t>
            </w:r>
          </w:p>
        </w:tc>
      </w:tr>
      <w:tr w:rsidR="0095141E" w14:paraId="0F816FEF" w14:textId="77777777" w:rsidTr="00C774E6">
        <w:trPr>
          <w:trHeight w:val="3058"/>
        </w:trPr>
        <w:tc>
          <w:tcPr>
            <w:tcW w:w="538" w:type="dxa"/>
            <w:vAlign w:val="center"/>
          </w:tcPr>
          <w:p w14:paraId="60B9BE8F" w14:textId="77777777" w:rsidR="0095141E" w:rsidRDefault="0095141E" w:rsidP="00C774E6">
            <w:r>
              <w:t>13</w:t>
            </w:r>
          </w:p>
        </w:tc>
        <w:tc>
          <w:tcPr>
            <w:tcW w:w="1675" w:type="dxa"/>
            <w:vAlign w:val="center"/>
          </w:tcPr>
          <w:p w14:paraId="50D06D8F" w14:textId="77777777" w:rsidR="0095141E" w:rsidRDefault="0095141E" w:rsidP="00C774E6">
            <w:r w:rsidRPr="00B4617E">
              <w:t xml:space="preserve">Revenue from environmental penalties </w:t>
            </w:r>
            <w:r>
              <w:t xml:space="preserve">(EC): </w:t>
            </w:r>
            <w:r w:rsidRPr="00624752">
              <w:t>Strengthening the system of environmental penalties and, enhancing funding for biodiversity</w:t>
            </w:r>
          </w:p>
        </w:tc>
        <w:tc>
          <w:tcPr>
            <w:tcW w:w="3182" w:type="dxa"/>
            <w:vAlign w:val="center"/>
          </w:tcPr>
          <w:p w14:paraId="6707D938" w14:textId="77777777" w:rsidR="0095141E" w:rsidRDefault="0095141E" w:rsidP="00C774E6">
            <w:r w:rsidRPr="001A1648">
              <w:t>To make use of environmental penalties either to increase spending on biodiversity or to reduce n</w:t>
            </w:r>
            <w:r>
              <w:t>egative impacts on biodiversity</w:t>
            </w:r>
          </w:p>
        </w:tc>
        <w:tc>
          <w:tcPr>
            <w:tcW w:w="4680" w:type="dxa"/>
            <w:vAlign w:val="center"/>
          </w:tcPr>
          <w:p w14:paraId="3325241E" w14:textId="77777777" w:rsidR="0095141E" w:rsidRDefault="0095141E" w:rsidP="0095141E">
            <w:pPr>
              <w:pStyle w:val="ListParagraph"/>
              <w:numPr>
                <w:ilvl w:val="0"/>
                <w:numId w:val="28"/>
              </w:numPr>
              <w:ind w:left="446" w:hanging="284"/>
            </w:pPr>
            <w:r>
              <w:t>Consultation with stakeholders</w:t>
            </w:r>
          </w:p>
          <w:p w14:paraId="32E76685" w14:textId="77777777" w:rsidR="0095141E" w:rsidRDefault="0095141E" w:rsidP="0095141E">
            <w:pPr>
              <w:pStyle w:val="ListParagraph"/>
              <w:numPr>
                <w:ilvl w:val="0"/>
                <w:numId w:val="28"/>
              </w:numPr>
              <w:ind w:left="446" w:hanging="284"/>
            </w:pPr>
            <w:r>
              <w:t>Reviewing the current status and, institutional and regulatory mechanisms</w:t>
            </w:r>
          </w:p>
          <w:p w14:paraId="7254CB10" w14:textId="77777777" w:rsidR="0095141E" w:rsidRDefault="0095141E" w:rsidP="0095141E">
            <w:pPr>
              <w:pStyle w:val="ListParagraph"/>
              <w:numPr>
                <w:ilvl w:val="0"/>
                <w:numId w:val="28"/>
              </w:numPr>
              <w:ind w:left="446" w:hanging="284"/>
            </w:pPr>
            <w:r>
              <w:t>Designing an improved revenue generation and utilization</w:t>
            </w:r>
          </w:p>
          <w:p w14:paraId="39FF2158" w14:textId="77777777" w:rsidR="0095141E" w:rsidRDefault="0095141E" w:rsidP="0095141E">
            <w:pPr>
              <w:pStyle w:val="ListParagraph"/>
              <w:numPr>
                <w:ilvl w:val="0"/>
                <w:numId w:val="28"/>
              </w:numPr>
              <w:ind w:left="446" w:hanging="284"/>
            </w:pPr>
            <w:r>
              <w:t>Designing institutional and regulatory mechanism</w:t>
            </w:r>
          </w:p>
          <w:p w14:paraId="0BAF029E" w14:textId="77777777" w:rsidR="0095141E" w:rsidRDefault="0095141E" w:rsidP="0095141E">
            <w:pPr>
              <w:pStyle w:val="ListParagraph"/>
              <w:numPr>
                <w:ilvl w:val="0"/>
                <w:numId w:val="28"/>
              </w:numPr>
              <w:ind w:left="446" w:hanging="284"/>
            </w:pPr>
            <w:r>
              <w:t>Validation and approval</w:t>
            </w:r>
          </w:p>
          <w:p w14:paraId="54040C1D" w14:textId="77777777" w:rsidR="0095141E" w:rsidRDefault="0095141E" w:rsidP="0095141E">
            <w:pPr>
              <w:pStyle w:val="ListParagraph"/>
              <w:numPr>
                <w:ilvl w:val="0"/>
                <w:numId w:val="28"/>
              </w:numPr>
              <w:ind w:left="446" w:hanging="284"/>
            </w:pPr>
            <w:r>
              <w:t>Training and other forms of capacity building</w:t>
            </w:r>
          </w:p>
          <w:p w14:paraId="3A518E86" w14:textId="77777777" w:rsidR="0095141E" w:rsidRDefault="0095141E" w:rsidP="0095141E">
            <w:pPr>
              <w:pStyle w:val="ListParagraph"/>
              <w:numPr>
                <w:ilvl w:val="0"/>
                <w:numId w:val="28"/>
              </w:numPr>
              <w:ind w:left="446" w:hanging="284"/>
            </w:pPr>
            <w:r>
              <w:t>Implementation by individual government agencies</w:t>
            </w:r>
          </w:p>
          <w:p w14:paraId="65D58A49" w14:textId="77777777" w:rsidR="0095141E" w:rsidRDefault="0095141E" w:rsidP="0095141E">
            <w:pPr>
              <w:pStyle w:val="ListParagraph"/>
              <w:numPr>
                <w:ilvl w:val="0"/>
                <w:numId w:val="28"/>
              </w:numPr>
              <w:ind w:left="446" w:hanging="284"/>
            </w:pPr>
            <w:r>
              <w:t>Utilizing funds for approved environmental conservation projects</w:t>
            </w:r>
          </w:p>
          <w:p w14:paraId="4C270A08" w14:textId="77777777" w:rsidR="0095141E" w:rsidRPr="001A1648" w:rsidRDefault="0095141E" w:rsidP="0095141E">
            <w:pPr>
              <w:pStyle w:val="ListParagraph"/>
              <w:numPr>
                <w:ilvl w:val="0"/>
                <w:numId w:val="28"/>
              </w:numPr>
              <w:ind w:left="446" w:hanging="284"/>
            </w:pPr>
            <w:r>
              <w:t>Monitoring and evaluation</w:t>
            </w:r>
          </w:p>
        </w:tc>
        <w:tc>
          <w:tcPr>
            <w:tcW w:w="1260" w:type="dxa"/>
            <w:vAlign w:val="center"/>
          </w:tcPr>
          <w:p w14:paraId="10B8A3E2" w14:textId="77777777" w:rsidR="0095141E" w:rsidRDefault="0095141E" w:rsidP="00C774E6">
            <w:r>
              <w:t>2019-2021</w:t>
            </w:r>
          </w:p>
        </w:tc>
        <w:tc>
          <w:tcPr>
            <w:tcW w:w="1260" w:type="dxa"/>
            <w:vAlign w:val="center"/>
          </w:tcPr>
          <w:p w14:paraId="1673D9D0" w14:textId="77777777" w:rsidR="0095141E" w:rsidRDefault="0095141E" w:rsidP="00C774E6">
            <w:r>
              <w:t>50,000</w:t>
            </w:r>
          </w:p>
        </w:tc>
        <w:tc>
          <w:tcPr>
            <w:tcW w:w="1308" w:type="dxa"/>
            <w:vAlign w:val="center"/>
          </w:tcPr>
          <w:p w14:paraId="7577C9B1" w14:textId="77777777" w:rsidR="0095141E" w:rsidRDefault="0095141E" w:rsidP="00C774E6">
            <w:r>
              <w:t>4 million</w:t>
            </w:r>
          </w:p>
        </w:tc>
      </w:tr>
    </w:tbl>
    <w:p w14:paraId="5F9D20AB" w14:textId="77777777" w:rsidR="00843442" w:rsidRDefault="00843442">
      <w:pPr>
        <w:sectPr w:rsidR="00843442" w:rsidSect="004A58FC">
          <w:pgSz w:w="16839" w:h="11907" w:orient="landscape" w:code="9"/>
          <w:pgMar w:top="1440" w:right="1440" w:bottom="1440" w:left="1440" w:header="720" w:footer="720" w:gutter="0"/>
          <w:cols w:space="720"/>
          <w:docGrid w:linePitch="360"/>
        </w:sectPr>
      </w:pPr>
    </w:p>
    <w:p w14:paraId="29FB2307" w14:textId="77777777" w:rsidR="00486DD2" w:rsidRDefault="000620FB" w:rsidP="008D23E4">
      <w:pPr>
        <w:pStyle w:val="Heading2"/>
      </w:pPr>
      <w:bookmarkStart w:id="22" w:name="_Toc526876312"/>
      <w:r>
        <w:t xml:space="preserve">5. Summary of the </w:t>
      </w:r>
      <w:r w:rsidR="008E13DC">
        <w:t>Financ</w:t>
      </w:r>
      <w:r>
        <w:t>es</w:t>
      </w:r>
      <w:bookmarkEnd w:id="22"/>
    </w:p>
    <w:p w14:paraId="79F899CA" w14:textId="49A1A938" w:rsidR="008E13DC" w:rsidRDefault="008E13DC" w:rsidP="00537B53">
      <w:pPr>
        <w:jc w:val="both"/>
      </w:pPr>
      <w:r>
        <w:t xml:space="preserve">There are 16 prioritized financial solutions including the sub-categories of 3 solutions under the </w:t>
      </w:r>
      <w:r w:rsidR="00F63F9E">
        <w:t xml:space="preserve">Payments </w:t>
      </w:r>
      <w:r>
        <w:t xml:space="preserve">for Ecosystem Service </w:t>
      </w:r>
      <w:r w:rsidR="00462663">
        <w:t xml:space="preserve">(PES) </w:t>
      </w:r>
      <w:r>
        <w:t>and 2 solutions under the Conservation License Plates.</w:t>
      </w:r>
      <w:r w:rsidR="005E1120">
        <w:t xml:space="preserve"> Out of the total</w:t>
      </w:r>
      <w:r w:rsidR="007F45B3">
        <w:t>,</w:t>
      </w:r>
      <w:r w:rsidR="005E1120">
        <w:t xml:space="preserve"> 10 solutions are </w:t>
      </w:r>
      <w:r w:rsidR="007F45B3">
        <w:t xml:space="preserve">for financing from private sources representing all four categories of financing: new finance mobilization, re-alignment of finances, avoiding future spending and, delivering better output. The </w:t>
      </w:r>
      <w:r w:rsidR="00F06326" w:rsidRPr="00F06326">
        <w:t>total financial resources required for the preparation and</w:t>
      </w:r>
      <w:r w:rsidR="00F06326">
        <w:t xml:space="preserve"> </w:t>
      </w:r>
      <w:r w:rsidR="007F45B3">
        <w:t xml:space="preserve">implementation of all financial solutions for the private sector is estimated to be US$ </w:t>
      </w:r>
      <w:r w:rsidR="00F8441F">
        <w:t>940</w:t>
      </w:r>
      <w:r w:rsidR="007F45B3">
        <w:t>,372, which would result in US$ 2</w:t>
      </w:r>
      <w:r w:rsidR="00F8441F">
        <w:t>67.2 m</w:t>
      </w:r>
      <w:r w:rsidR="007F45B3">
        <w:t>illion during the seven-year plan period 2018-2024.</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75"/>
        <w:gridCol w:w="1233"/>
        <w:gridCol w:w="1223"/>
        <w:gridCol w:w="1250"/>
        <w:gridCol w:w="1216"/>
        <w:gridCol w:w="1220"/>
      </w:tblGrid>
      <w:tr w:rsidR="00D64A09" w:rsidRPr="00235B87" w14:paraId="598C4642" w14:textId="77777777" w:rsidTr="002B3FF4">
        <w:tc>
          <w:tcPr>
            <w:tcW w:w="9017" w:type="dxa"/>
            <w:gridSpan w:val="6"/>
          </w:tcPr>
          <w:p w14:paraId="5130D5F0" w14:textId="3222DCE0" w:rsidR="00D64A09" w:rsidRPr="00235B87" w:rsidRDefault="00720F50" w:rsidP="00D64A09">
            <w:pPr>
              <w:jc w:val="center"/>
            </w:pPr>
            <w:r>
              <w:t>Table 5</w:t>
            </w:r>
            <w:r w:rsidR="00235B87" w:rsidRPr="00235B87">
              <w:t xml:space="preserve">: </w:t>
            </w:r>
            <w:r w:rsidR="00D64A09" w:rsidRPr="00235B87">
              <w:t>Prioritized Finance Solutions: Budget and Financial Result</w:t>
            </w:r>
          </w:p>
        </w:tc>
      </w:tr>
      <w:tr w:rsidR="00D64A09" w:rsidRPr="00D0084C" w14:paraId="323E4CD3" w14:textId="77777777" w:rsidTr="00D64A09">
        <w:tc>
          <w:tcPr>
            <w:tcW w:w="2875" w:type="dxa"/>
            <w:vAlign w:val="center"/>
          </w:tcPr>
          <w:p w14:paraId="7570254B" w14:textId="23536DA5" w:rsidR="00D64A09" w:rsidRPr="00D0084C" w:rsidRDefault="00D64A09" w:rsidP="00D64A09">
            <w:pPr>
              <w:rPr>
                <w:sz w:val="20"/>
              </w:rPr>
            </w:pPr>
            <w:r w:rsidRPr="00CD64A6">
              <w:t>Categories</w:t>
            </w:r>
          </w:p>
        </w:tc>
        <w:tc>
          <w:tcPr>
            <w:tcW w:w="1233" w:type="dxa"/>
            <w:vAlign w:val="center"/>
          </w:tcPr>
          <w:p w14:paraId="6A53ADD9" w14:textId="77777777" w:rsidR="00D64A09" w:rsidRPr="00D0084C" w:rsidRDefault="00D64A09" w:rsidP="00D64A09">
            <w:pPr>
              <w:jc w:val="right"/>
              <w:rPr>
                <w:sz w:val="20"/>
              </w:rPr>
            </w:pPr>
            <w:r w:rsidRPr="00D0084C">
              <w:rPr>
                <w:sz w:val="20"/>
              </w:rPr>
              <w:t>Number of solutions</w:t>
            </w:r>
          </w:p>
        </w:tc>
        <w:tc>
          <w:tcPr>
            <w:tcW w:w="1223" w:type="dxa"/>
            <w:vAlign w:val="center"/>
          </w:tcPr>
          <w:p w14:paraId="27414490" w14:textId="77777777" w:rsidR="00D64A09" w:rsidRPr="00D0084C" w:rsidRDefault="00D64A09" w:rsidP="00D64A09">
            <w:pPr>
              <w:jc w:val="right"/>
              <w:rPr>
                <w:sz w:val="20"/>
              </w:rPr>
            </w:pPr>
            <w:r w:rsidRPr="00D0084C">
              <w:rPr>
                <w:sz w:val="20"/>
              </w:rPr>
              <w:t>Budget,</w:t>
            </w:r>
          </w:p>
          <w:p w14:paraId="0DEFFCEA" w14:textId="77777777" w:rsidR="00D64A09" w:rsidRPr="00D0084C" w:rsidRDefault="00D64A09" w:rsidP="00D64A09">
            <w:pPr>
              <w:jc w:val="right"/>
              <w:rPr>
                <w:sz w:val="20"/>
              </w:rPr>
            </w:pPr>
            <w:r w:rsidRPr="00D0084C">
              <w:rPr>
                <w:sz w:val="20"/>
              </w:rPr>
              <w:t>LKR million</w:t>
            </w:r>
          </w:p>
        </w:tc>
        <w:tc>
          <w:tcPr>
            <w:tcW w:w="1250" w:type="dxa"/>
            <w:vAlign w:val="center"/>
          </w:tcPr>
          <w:p w14:paraId="4AC6641D" w14:textId="77777777" w:rsidR="00D64A09" w:rsidRPr="00D0084C" w:rsidRDefault="00D64A09" w:rsidP="00D64A09">
            <w:pPr>
              <w:jc w:val="right"/>
              <w:rPr>
                <w:sz w:val="20"/>
              </w:rPr>
            </w:pPr>
            <w:r w:rsidRPr="00D0084C">
              <w:rPr>
                <w:sz w:val="20"/>
              </w:rPr>
              <w:t>Financial result,</w:t>
            </w:r>
          </w:p>
          <w:p w14:paraId="37FB94D6" w14:textId="77777777" w:rsidR="00D64A09" w:rsidRPr="00D0084C" w:rsidRDefault="00D64A09" w:rsidP="00D64A09">
            <w:pPr>
              <w:jc w:val="right"/>
              <w:rPr>
                <w:sz w:val="20"/>
              </w:rPr>
            </w:pPr>
            <w:r w:rsidRPr="00D0084C">
              <w:rPr>
                <w:sz w:val="20"/>
              </w:rPr>
              <w:t>LKR billion</w:t>
            </w:r>
          </w:p>
        </w:tc>
        <w:tc>
          <w:tcPr>
            <w:tcW w:w="1216" w:type="dxa"/>
            <w:vAlign w:val="center"/>
          </w:tcPr>
          <w:p w14:paraId="4989A996" w14:textId="77777777" w:rsidR="00D64A09" w:rsidRPr="00D0084C" w:rsidRDefault="00D64A09" w:rsidP="00D64A09">
            <w:pPr>
              <w:jc w:val="right"/>
              <w:rPr>
                <w:sz w:val="20"/>
              </w:rPr>
            </w:pPr>
            <w:r w:rsidRPr="00D0084C">
              <w:rPr>
                <w:sz w:val="20"/>
              </w:rPr>
              <w:t>Budget,</w:t>
            </w:r>
          </w:p>
          <w:p w14:paraId="413BC326" w14:textId="77777777" w:rsidR="00D64A09" w:rsidRPr="00D0084C" w:rsidRDefault="00D64A09" w:rsidP="00D64A09">
            <w:pPr>
              <w:jc w:val="right"/>
              <w:rPr>
                <w:sz w:val="20"/>
              </w:rPr>
            </w:pPr>
            <w:r w:rsidRPr="00D0084C">
              <w:rPr>
                <w:sz w:val="20"/>
              </w:rPr>
              <w:t>US$</w:t>
            </w:r>
          </w:p>
        </w:tc>
        <w:tc>
          <w:tcPr>
            <w:tcW w:w="1220" w:type="dxa"/>
            <w:vAlign w:val="center"/>
          </w:tcPr>
          <w:p w14:paraId="2CBA529C" w14:textId="77777777" w:rsidR="00D64A09" w:rsidRPr="00D0084C" w:rsidRDefault="00D64A09" w:rsidP="00D64A09">
            <w:pPr>
              <w:jc w:val="right"/>
              <w:rPr>
                <w:sz w:val="20"/>
              </w:rPr>
            </w:pPr>
            <w:r w:rsidRPr="00D0084C">
              <w:rPr>
                <w:sz w:val="20"/>
              </w:rPr>
              <w:t>Financial result,</w:t>
            </w:r>
          </w:p>
          <w:p w14:paraId="0300014B" w14:textId="77777777" w:rsidR="00D64A09" w:rsidRPr="00D0084C" w:rsidRDefault="00D64A09" w:rsidP="00D64A09">
            <w:pPr>
              <w:jc w:val="right"/>
              <w:rPr>
                <w:sz w:val="20"/>
              </w:rPr>
            </w:pPr>
            <w:r w:rsidRPr="00D0084C">
              <w:rPr>
                <w:sz w:val="20"/>
              </w:rPr>
              <w:t>US$ million</w:t>
            </w:r>
          </w:p>
        </w:tc>
      </w:tr>
      <w:tr w:rsidR="00AC2596" w14:paraId="7E6EC5C7" w14:textId="77777777" w:rsidTr="009B37A7">
        <w:tc>
          <w:tcPr>
            <w:tcW w:w="2875" w:type="dxa"/>
          </w:tcPr>
          <w:p w14:paraId="1B160570" w14:textId="54E27E21" w:rsidR="00AC2596" w:rsidRDefault="00AC2596" w:rsidP="00AC2596">
            <w:r w:rsidRPr="003D4FD3">
              <w:t>Private sources</w:t>
            </w:r>
          </w:p>
        </w:tc>
        <w:tc>
          <w:tcPr>
            <w:tcW w:w="1233" w:type="dxa"/>
          </w:tcPr>
          <w:p w14:paraId="36DB4872" w14:textId="3E0B8811" w:rsidR="00AC2596" w:rsidRDefault="00AC2596" w:rsidP="00AC2596">
            <w:pPr>
              <w:jc w:val="right"/>
            </w:pPr>
            <w:r w:rsidRPr="002467A3">
              <w:t>10</w:t>
            </w:r>
          </w:p>
        </w:tc>
        <w:tc>
          <w:tcPr>
            <w:tcW w:w="1223" w:type="dxa"/>
          </w:tcPr>
          <w:p w14:paraId="1576FE15" w14:textId="6CE00E5F" w:rsidR="00AC2596" w:rsidRDefault="00AC2596" w:rsidP="00AC2596">
            <w:pPr>
              <w:jc w:val="right"/>
            </w:pPr>
            <w:r w:rsidRPr="002467A3">
              <w:t>169.3</w:t>
            </w:r>
          </w:p>
        </w:tc>
        <w:tc>
          <w:tcPr>
            <w:tcW w:w="1250" w:type="dxa"/>
          </w:tcPr>
          <w:p w14:paraId="10FE15BE" w14:textId="53D4CF3A" w:rsidR="00AC2596" w:rsidRDefault="00AC2596" w:rsidP="00AC2596">
            <w:pPr>
              <w:jc w:val="right"/>
            </w:pPr>
            <w:r w:rsidRPr="002467A3">
              <w:t>48.1</w:t>
            </w:r>
          </w:p>
        </w:tc>
        <w:tc>
          <w:tcPr>
            <w:tcW w:w="1216" w:type="dxa"/>
          </w:tcPr>
          <w:p w14:paraId="7E94D0A5" w14:textId="085957ED" w:rsidR="00AC2596" w:rsidRDefault="00AC2596" w:rsidP="00AC2596">
            <w:pPr>
              <w:jc w:val="right"/>
            </w:pPr>
            <w:r w:rsidRPr="002467A3">
              <w:t xml:space="preserve"> 940,372 </w:t>
            </w:r>
          </w:p>
        </w:tc>
        <w:tc>
          <w:tcPr>
            <w:tcW w:w="1220" w:type="dxa"/>
          </w:tcPr>
          <w:p w14:paraId="2E1533BE" w14:textId="11D1F053" w:rsidR="00AC2596" w:rsidRDefault="00AC2596" w:rsidP="00AC2596">
            <w:pPr>
              <w:jc w:val="right"/>
            </w:pPr>
            <w:r w:rsidRPr="002467A3">
              <w:t>267.2</w:t>
            </w:r>
          </w:p>
        </w:tc>
      </w:tr>
      <w:tr w:rsidR="00AC2596" w14:paraId="44C79553" w14:textId="77777777" w:rsidTr="009B37A7">
        <w:tc>
          <w:tcPr>
            <w:tcW w:w="2875" w:type="dxa"/>
          </w:tcPr>
          <w:p w14:paraId="7AA6679D" w14:textId="100DA16A" w:rsidR="00AC2596" w:rsidRDefault="00AC2596" w:rsidP="00AC2596">
            <w:r w:rsidRPr="003D4FD3">
              <w:t>State-owned enterprises</w:t>
            </w:r>
          </w:p>
        </w:tc>
        <w:tc>
          <w:tcPr>
            <w:tcW w:w="1233" w:type="dxa"/>
          </w:tcPr>
          <w:p w14:paraId="5CE1E9D8" w14:textId="3CDC9DDF" w:rsidR="00AC2596" w:rsidRDefault="00AC2596" w:rsidP="00AC2596">
            <w:pPr>
              <w:jc w:val="right"/>
            </w:pPr>
            <w:r w:rsidRPr="002467A3">
              <w:t>2</w:t>
            </w:r>
          </w:p>
        </w:tc>
        <w:tc>
          <w:tcPr>
            <w:tcW w:w="1223" w:type="dxa"/>
          </w:tcPr>
          <w:p w14:paraId="61D4EE64" w14:textId="270EC088" w:rsidR="00AC2596" w:rsidRDefault="00AC2596" w:rsidP="00AC2596">
            <w:pPr>
              <w:jc w:val="right"/>
            </w:pPr>
            <w:r w:rsidRPr="002467A3">
              <w:t>39.6</w:t>
            </w:r>
          </w:p>
        </w:tc>
        <w:tc>
          <w:tcPr>
            <w:tcW w:w="1250" w:type="dxa"/>
          </w:tcPr>
          <w:p w14:paraId="40CA53E3" w14:textId="2F06A230" w:rsidR="00AC2596" w:rsidRDefault="00AC2596" w:rsidP="00AC2596">
            <w:pPr>
              <w:jc w:val="right"/>
            </w:pPr>
            <w:r w:rsidRPr="002467A3">
              <w:t>13.7</w:t>
            </w:r>
          </w:p>
        </w:tc>
        <w:tc>
          <w:tcPr>
            <w:tcW w:w="1216" w:type="dxa"/>
          </w:tcPr>
          <w:p w14:paraId="2D00F1F9" w14:textId="17444F56" w:rsidR="00AC2596" w:rsidRDefault="00AC2596" w:rsidP="00AC2596">
            <w:pPr>
              <w:jc w:val="right"/>
            </w:pPr>
            <w:r w:rsidRPr="002467A3">
              <w:t xml:space="preserve"> 220,000 </w:t>
            </w:r>
          </w:p>
        </w:tc>
        <w:tc>
          <w:tcPr>
            <w:tcW w:w="1220" w:type="dxa"/>
          </w:tcPr>
          <w:p w14:paraId="184FB460" w14:textId="634B2DE9" w:rsidR="00AC2596" w:rsidRDefault="00AC2596" w:rsidP="00AC2596">
            <w:pPr>
              <w:jc w:val="right"/>
            </w:pPr>
            <w:r w:rsidRPr="002467A3">
              <w:t>76.0</w:t>
            </w:r>
          </w:p>
        </w:tc>
      </w:tr>
      <w:tr w:rsidR="00AC2596" w14:paraId="321A291B" w14:textId="77777777" w:rsidTr="009B37A7">
        <w:tc>
          <w:tcPr>
            <w:tcW w:w="2875" w:type="dxa"/>
          </w:tcPr>
          <w:p w14:paraId="37B871D0" w14:textId="75F628C9" w:rsidR="00AC2596" w:rsidRDefault="00AC2596" w:rsidP="00AC2596">
            <w:r w:rsidRPr="003D4FD3">
              <w:t>Government budget</w:t>
            </w:r>
          </w:p>
        </w:tc>
        <w:tc>
          <w:tcPr>
            <w:tcW w:w="1233" w:type="dxa"/>
          </w:tcPr>
          <w:p w14:paraId="39F2F82D" w14:textId="1F7FC54D" w:rsidR="00AC2596" w:rsidRDefault="00AC2596" w:rsidP="00AC2596">
            <w:pPr>
              <w:jc w:val="right"/>
            </w:pPr>
            <w:r w:rsidRPr="002467A3">
              <w:t>2</w:t>
            </w:r>
          </w:p>
        </w:tc>
        <w:tc>
          <w:tcPr>
            <w:tcW w:w="1223" w:type="dxa"/>
          </w:tcPr>
          <w:p w14:paraId="3927B85B" w14:textId="1B127188" w:rsidR="00AC2596" w:rsidRDefault="00AC2596" w:rsidP="00AC2596">
            <w:pPr>
              <w:jc w:val="right"/>
            </w:pPr>
            <w:r w:rsidRPr="002467A3">
              <w:t>16.2</w:t>
            </w:r>
          </w:p>
        </w:tc>
        <w:tc>
          <w:tcPr>
            <w:tcW w:w="1250" w:type="dxa"/>
          </w:tcPr>
          <w:p w14:paraId="43D84503" w14:textId="10150A1E" w:rsidR="00AC2596" w:rsidRDefault="00AC2596" w:rsidP="00AC2596">
            <w:pPr>
              <w:jc w:val="right"/>
            </w:pPr>
            <w:r w:rsidRPr="002467A3">
              <w:t>13.7</w:t>
            </w:r>
          </w:p>
        </w:tc>
        <w:tc>
          <w:tcPr>
            <w:tcW w:w="1216" w:type="dxa"/>
          </w:tcPr>
          <w:p w14:paraId="5ADC68A4" w14:textId="1DD26B5C" w:rsidR="00AC2596" w:rsidRDefault="00AC2596" w:rsidP="00AC2596">
            <w:pPr>
              <w:jc w:val="right"/>
            </w:pPr>
            <w:r w:rsidRPr="002467A3">
              <w:t xml:space="preserve"> 90,000 </w:t>
            </w:r>
          </w:p>
        </w:tc>
        <w:tc>
          <w:tcPr>
            <w:tcW w:w="1220" w:type="dxa"/>
          </w:tcPr>
          <w:p w14:paraId="54A752A3" w14:textId="7A995627" w:rsidR="00AC2596" w:rsidRDefault="00AC2596" w:rsidP="00AC2596">
            <w:pPr>
              <w:jc w:val="right"/>
            </w:pPr>
            <w:r w:rsidRPr="002467A3">
              <w:t>76.0</w:t>
            </w:r>
          </w:p>
        </w:tc>
      </w:tr>
      <w:tr w:rsidR="00AC2596" w14:paraId="64FEB9DE" w14:textId="77777777" w:rsidTr="00D027F0">
        <w:tc>
          <w:tcPr>
            <w:tcW w:w="2875" w:type="dxa"/>
          </w:tcPr>
          <w:p w14:paraId="30A7CE3F" w14:textId="7F879995" w:rsidR="00AC2596" w:rsidRDefault="00AC2596" w:rsidP="00AC2596">
            <w:r w:rsidRPr="003D4FD3">
              <w:t>Debt financing sources</w:t>
            </w:r>
          </w:p>
        </w:tc>
        <w:tc>
          <w:tcPr>
            <w:tcW w:w="1233" w:type="dxa"/>
          </w:tcPr>
          <w:p w14:paraId="30A00DC5" w14:textId="5F72BA69" w:rsidR="00AC2596" w:rsidRDefault="00AC2596" w:rsidP="00AC2596">
            <w:pPr>
              <w:jc w:val="right"/>
            </w:pPr>
            <w:r w:rsidRPr="002467A3">
              <w:t>2</w:t>
            </w:r>
          </w:p>
        </w:tc>
        <w:tc>
          <w:tcPr>
            <w:tcW w:w="1223" w:type="dxa"/>
          </w:tcPr>
          <w:p w14:paraId="073D11F7" w14:textId="1F158955" w:rsidR="00AC2596" w:rsidRDefault="00AC2596" w:rsidP="00AC2596">
            <w:pPr>
              <w:jc w:val="right"/>
            </w:pPr>
            <w:r w:rsidRPr="002467A3">
              <w:t>30.6</w:t>
            </w:r>
          </w:p>
        </w:tc>
        <w:tc>
          <w:tcPr>
            <w:tcW w:w="1250" w:type="dxa"/>
          </w:tcPr>
          <w:p w14:paraId="4CE6EA93" w14:textId="3EE05769" w:rsidR="00AC2596" w:rsidRDefault="00AC2596" w:rsidP="00AC2596">
            <w:pPr>
              <w:jc w:val="right"/>
            </w:pPr>
            <w:r w:rsidRPr="002467A3">
              <w:t>68.4</w:t>
            </w:r>
          </w:p>
        </w:tc>
        <w:tc>
          <w:tcPr>
            <w:tcW w:w="1216" w:type="dxa"/>
          </w:tcPr>
          <w:p w14:paraId="51C1EBEF" w14:textId="1C484BBE" w:rsidR="00AC2596" w:rsidRDefault="00AC2596" w:rsidP="00AC2596">
            <w:pPr>
              <w:jc w:val="right"/>
            </w:pPr>
            <w:r w:rsidRPr="002467A3">
              <w:t xml:space="preserve"> 170,000 </w:t>
            </w:r>
          </w:p>
        </w:tc>
        <w:tc>
          <w:tcPr>
            <w:tcW w:w="1220" w:type="dxa"/>
          </w:tcPr>
          <w:p w14:paraId="17850432" w14:textId="237EC878" w:rsidR="00AC2596" w:rsidRDefault="00AC2596" w:rsidP="00AC2596">
            <w:pPr>
              <w:jc w:val="right"/>
            </w:pPr>
            <w:r w:rsidRPr="002467A3">
              <w:t>380.0</w:t>
            </w:r>
          </w:p>
        </w:tc>
      </w:tr>
      <w:tr w:rsidR="00D027F0" w14:paraId="153FFCEB" w14:textId="77777777" w:rsidTr="009B37A7">
        <w:tc>
          <w:tcPr>
            <w:tcW w:w="2875" w:type="dxa"/>
            <w:tcBorders>
              <w:bottom w:val="single" w:sz="4" w:space="0" w:color="auto"/>
            </w:tcBorders>
          </w:tcPr>
          <w:p w14:paraId="069E402F" w14:textId="52D68DED" w:rsidR="00D027F0" w:rsidRPr="003D4FD3" w:rsidRDefault="00D027F0" w:rsidP="00D027F0">
            <w:r>
              <w:t>TOTAL</w:t>
            </w:r>
          </w:p>
        </w:tc>
        <w:tc>
          <w:tcPr>
            <w:tcW w:w="1233" w:type="dxa"/>
            <w:tcBorders>
              <w:bottom w:val="single" w:sz="4" w:space="0" w:color="auto"/>
            </w:tcBorders>
          </w:tcPr>
          <w:p w14:paraId="001108BF" w14:textId="0C0F8CAD" w:rsidR="00D027F0" w:rsidRPr="002467A3" w:rsidRDefault="00D027F0" w:rsidP="00D027F0">
            <w:pPr>
              <w:jc w:val="right"/>
            </w:pPr>
            <w:r>
              <w:t>16</w:t>
            </w:r>
          </w:p>
        </w:tc>
        <w:tc>
          <w:tcPr>
            <w:tcW w:w="1223" w:type="dxa"/>
            <w:tcBorders>
              <w:bottom w:val="single" w:sz="4" w:space="0" w:color="auto"/>
            </w:tcBorders>
          </w:tcPr>
          <w:p w14:paraId="2889274F" w14:textId="52393463" w:rsidR="00D027F0" w:rsidRPr="002467A3" w:rsidRDefault="00D027F0" w:rsidP="00D027F0">
            <w:pPr>
              <w:jc w:val="right"/>
            </w:pPr>
            <w:r w:rsidRPr="009B1FE5">
              <w:t>255.7</w:t>
            </w:r>
          </w:p>
        </w:tc>
        <w:tc>
          <w:tcPr>
            <w:tcW w:w="1250" w:type="dxa"/>
            <w:tcBorders>
              <w:bottom w:val="single" w:sz="4" w:space="0" w:color="auto"/>
            </w:tcBorders>
          </w:tcPr>
          <w:p w14:paraId="30B5C3B7" w14:textId="779BA183" w:rsidR="00D027F0" w:rsidRPr="002467A3" w:rsidRDefault="00D027F0" w:rsidP="00D027F0">
            <w:pPr>
              <w:jc w:val="right"/>
            </w:pPr>
            <w:r w:rsidRPr="009B1FE5">
              <w:t>143.9</w:t>
            </w:r>
          </w:p>
        </w:tc>
        <w:tc>
          <w:tcPr>
            <w:tcW w:w="1216" w:type="dxa"/>
            <w:tcBorders>
              <w:bottom w:val="single" w:sz="4" w:space="0" w:color="auto"/>
            </w:tcBorders>
          </w:tcPr>
          <w:p w14:paraId="48220591" w14:textId="28901FD8" w:rsidR="00D027F0" w:rsidRPr="002467A3" w:rsidRDefault="00D027F0" w:rsidP="00D027F0">
            <w:pPr>
              <w:jc w:val="right"/>
            </w:pPr>
            <w:r w:rsidRPr="009B1FE5">
              <w:t xml:space="preserve"> 1,420,372 </w:t>
            </w:r>
          </w:p>
        </w:tc>
        <w:tc>
          <w:tcPr>
            <w:tcW w:w="1220" w:type="dxa"/>
            <w:tcBorders>
              <w:bottom w:val="single" w:sz="4" w:space="0" w:color="auto"/>
            </w:tcBorders>
          </w:tcPr>
          <w:p w14:paraId="5C3C6D75" w14:textId="3C2261AF" w:rsidR="00D027F0" w:rsidRPr="002467A3" w:rsidRDefault="00D027F0" w:rsidP="00D027F0">
            <w:pPr>
              <w:jc w:val="right"/>
            </w:pPr>
            <w:r w:rsidRPr="009B1FE5">
              <w:t>799.2</w:t>
            </w:r>
          </w:p>
        </w:tc>
      </w:tr>
    </w:tbl>
    <w:p w14:paraId="0EAB79F0" w14:textId="2ABDACF9" w:rsidR="00F63F9E" w:rsidRDefault="00F63F9E" w:rsidP="007B0C63"/>
    <w:p w14:paraId="57E2AF72" w14:textId="1E1E6B57" w:rsidR="002B3FF4" w:rsidRDefault="002B3FF4" w:rsidP="00537B53">
      <w:pPr>
        <w:jc w:val="both"/>
      </w:pPr>
      <w:r>
        <w:t>The balance 6 finance solutions fall under three categories</w:t>
      </w:r>
      <w:r w:rsidR="00F8441F">
        <w:t xml:space="preserve"> of</w:t>
      </w:r>
      <w:r>
        <w:t xml:space="preserve"> </w:t>
      </w:r>
      <w:r w:rsidR="004461C7">
        <w:t xml:space="preserve">financing sources as 2 for the state-owned enterprises (SOEs), 2 for the government budget and, 2 for debt financing. The SOEs represent the energy sector coming under the CEB. While the estimated implementation budget for the SOEs amounts to US$ </w:t>
      </w:r>
      <w:r w:rsidR="00F8441F">
        <w:t>220,000</w:t>
      </w:r>
      <w:r w:rsidR="004461C7">
        <w:t>, the resulting financial result for the plan period is estimated to be US$ 76 billion. It should be noted, however, as the financial results are revenues generated or saved annually so that they continue to keep generating long-term finances</w:t>
      </w:r>
      <w:r w:rsidR="00F8441F">
        <w:t xml:space="preserve"> beyond the plan horizon</w:t>
      </w:r>
      <w:r w:rsidR="004461C7">
        <w:t>.</w:t>
      </w:r>
    </w:p>
    <w:p w14:paraId="57591E59" w14:textId="58F45C48" w:rsidR="0059269B" w:rsidRDefault="004461C7" w:rsidP="00537B53">
      <w:pPr>
        <w:jc w:val="both"/>
      </w:pPr>
      <w:r>
        <w:t xml:space="preserve">Government budget represents an </w:t>
      </w:r>
      <w:proofErr w:type="gramStart"/>
      <w:r>
        <w:t>increased expenditure allocations</w:t>
      </w:r>
      <w:proofErr w:type="gramEnd"/>
      <w:r>
        <w:t xml:space="preserve"> from tax revenue as well as </w:t>
      </w:r>
      <w:r w:rsidR="0059269B">
        <w:t xml:space="preserve">streamlined environmental </w:t>
      </w:r>
      <w:r w:rsidR="00F8441F">
        <w:t>penalties</w:t>
      </w:r>
      <w:r w:rsidR="0059269B">
        <w:t xml:space="preserve"> for spending on biodiversity. Both require US$ 90,000 as the implementation budget, while estimated mobi</w:t>
      </w:r>
      <w:r w:rsidR="00F8441F">
        <w:t>lization of finances as US$ 76 m</w:t>
      </w:r>
      <w:r w:rsidR="0059269B">
        <w:t>illion during the plan period.</w:t>
      </w:r>
      <w:r w:rsidR="00D0084C">
        <w:t xml:space="preserve"> </w:t>
      </w:r>
      <w:r w:rsidR="0059269B">
        <w:t xml:space="preserve">Finally, debt financing </w:t>
      </w:r>
      <w:proofErr w:type="gramStart"/>
      <w:r w:rsidR="0059269B">
        <w:t>represent</w:t>
      </w:r>
      <w:proofErr w:type="gramEnd"/>
      <w:r w:rsidR="0059269B">
        <w:t xml:space="preserve"> green bonds and </w:t>
      </w:r>
      <w:r w:rsidR="00F8441F">
        <w:t>remittance</w:t>
      </w:r>
      <w:r w:rsidR="0059269B">
        <w:t xml:space="preserve"> financing, which requires US$ 170,000 as the implementation cost. They both are also for international finance mobilization. </w:t>
      </w:r>
      <w:r w:rsidR="00D027F0">
        <w:t>A</w:t>
      </w:r>
      <w:r w:rsidR="0059269B">
        <w:t xml:space="preserve">s both financing sources have the capacity to generate large sums of debt finance, apparently the </w:t>
      </w:r>
      <w:r w:rsidR="00DF72F5">
        <w:t>projected</w:t>
      </w:r>
      <w:r w:rsidR="0059269B">
        <w:t xml:space="preserve"> US$ 380 billion is estimated by placing a minimum ceiling cap</w:t>
      </w:r>
      <w:r w:rsidR="00D027F0">
        <w:t xml:space="preserve"> for both solutions</w:t>
      </w:r>
      <w:r w:rsidR="0059269B">
        <w:t>.</w:t>
      </w:r>
    </w:p>
    <w:p w14:paraId="10EE229D" w14:textId="088239EC" w:rsidR="0059269B" w:rsidRDefault="0059269B" w:rsidP="00537B53">
      <w:pPr>
        <w:jc w:val="both"/>
      </w:pPr>
      <w:r>
        <w:t>All finance solutions require little over US$ 1</w:t>
      </w:r>
      <w:r w:rsidR="00D027F0">
        <w:t>.4</w:t>
      </w:r>
      <w:r>
        <w:t xml:space="preserve"> million implementation budget. The total financial result is es</w:t>
      </w:r>
      <w:r w:rsidR="00E92592">
        <w:t xml:space="preserve">timated to be </w:t>
      </w:r>
      <w:r w:rsidR="00D027F0">
        <w:t>US$ 799</w:t>
      </w:r>
      <w:r w:rsidR="00E92592">
        <w:t xml:space="preserve"> </w:t>
      </w:r>
      <w:r w:rsidR="00D027F0">
        <w:t>m</w:t>
      </w:r>
      <w:r w:rsidR="00E92592">
        <w:t xml:space="preserve">illion </w:t>
      </w:r>
      <w:r>
        <w:t>during the plan period.</w:t>
      </w:r>
    </w:p>
    <w:p w14:paraId="1AB29231" w14:textId="27D41714" w:rsidR="0059269B" w:rsidRDefault="00E92592" w:rsidP="00537B53">
      <w:pPr>
        <w:jc w:val="both"/>
      </w:pPr>
      <w:r>
        <w:t xml:space="preserve">In terms of domestic currency, the total financial result is estimated to be </w:t>
      </w:r>
      <w:r w:rsidR="0098560E">
        <w:t>about</w:t>
      </w:r>
      <w:r>
        <w:t xml:space="preserve"> LKR </w:t>
      </w:r>
      <w:r w:rsidR="0098560E">
        <w:t>144</w:t>
      </w:r>
      <w:r>
        <w:t xml:space="preserve"> billion at the</w:t>
      </w:r>
      <w:r w:rsidR="0098560E">
        <w:t xml:space="preserve"> current exchange rate of LKR 18</w:t>
      </w:r>
      <w:r>
        <w:t xml:space="preserve">0 per US$. </w:t>
      </w:r>
      <w:r w:rsidR="0037649F" w:rsidRPr="0037649F">
        <w:t xml:space="preserve">The estimated total financial result is </w:t>
      </w:r>
      <w:r w:rsidR="0098560E">
        <w:t>more than</w:t>
      </w:r>
      <w:r w:rsidR="0037649F">
        <w:t xml:space="preserve"> </w:t>
      </w:r>
      <w:r w:rsidR="0037649F" w:rsidRPr="0037649F">
        <w:rPr>
          <w:i/>
        </w:rPr>
        <w:t>four-times</w:t>
      </w:r>
      <w:r w:rsidR="0037649F">
        <w:t xml:space="preserve"> the</w:t>
      </w:r>
      <w:r w:rsidR="0059269B">
        <w:t xml:space="preserve"> required </w:t>
      </w:r>
      <w:r>
        <w:t>cost of LKR 30.7 billion in achieving the national biodiversity targets</w:t>
      </w:r>
      <w:r w:rsidR="0037649F">
        <w:t xml:space="preserve">. </w:t>
      </w:r>
    </w:p>
    <w:p w14:paraId="4F9F1B45" w14:textId="3371A0F7" w:rsidR="00DE2BD7" w:rsidRDefault="00DE2BD7">
      <w:r>
        <w:br w:type="page"/>
      </w:r>
    </w:p>
    <w:p w14:paraId="2938EA3D" w14:textId="77777777" w:rsidR="002F1BF7" w:rsidRDefault="002F1BF7"/>
    <w:p w14:paraId="25E60C1F" w14:textId="74C7CE60" w:rsidR="002F1BF7" w:rsidRDefault="005F7E73" w:rsidP="008D23E4">
      <w:pPr>
        <w:pStyle w:val="Heading1"/>
      </w:pPr>
      <w:bookmarkStart w:id="23" w:name="_Toc526876313"/>
      <w:r>
        <w:t>ANNEX</w:t>
      </w:r>
      <w:bookmarkEnd w:id="23"/>
    </w:p>
    <w:p w14:paraId="7BBFB144" w14:textId="77777777" w:rsidR="00440AC3" w:rsidRDefault="00440AC3" w:rsidP="007B0C63"/>
    <w:p w14:paraId="12E5048C" w14:textId="75EDCC7B" w:rsidR="00440AC3" w:rsidRDefault="00440AC3"/>
    <w:p w14:paraId="7ACD9C5D" w14:textId="300B1118" w:rsidR="00440AC3" w:rsidRPr="00A5515B" w:rsidRDefault="00440AC3" w:rsidP="00440AC3">
      <w:pPr>
        <w:jc w:val="center"/>
        <w:rPr>
          <w:b/>
          <w:sz w:val="32"/>
          <w:szCs w:val="36"/>
        </w:rPr>
      </w:pPr>
      <w:r>
        <w:rPr>
          <w:b/>
          <w:sz w:val="32"/>
          <w:szCs w:val="36"/>
        </w:rPr>
        <w:t xml:space="preserve">I. </w:t>
      </w:r>
      <w:r w:rsidRPr="00A5515B">
        <w:rPr>
          <w:b/>
          <w:sz w:val="32"/>
          <w:szCs w:val="36"/>
        </w:rPr>
        <w:t>Particip</w:t>
      </w:r>
      <w:r w:rsidR="00003F22">
        <w:rPr>
          <w:b/>
          <w:sz w:val="32"/>
          <w:szCs w:val="36"/>
        </w:rPr>
        <w:t>ants for the Expert Consultation</w:t>
      </w:r>
      <w:r w:rsidRPr="00A5515B">
        <w:rPr>
          <w:b/>
          <w:sz w:val="32"/>
          <w:szCs w:val="36"/>
        </w:rPr>
        <w:t xml:space="preserve"> Meeting of BFP</w:t>
      </w:r>
    </w:p>
    <w:p w14:paraId="3CF488E2" w14:textId="77777777" w:rsidR="00440AC3" w:rsidRDefault="00440AC3" w:rsidP="00440AC3">
      <w:pPr>
        <w:jc w:val="center"/>
        <w:rPr>
          <w:b/>
        </w:rPr>
      </w:pPr>
      <w:r>
        <w:rPr>
          <w:b/>
        </w:rPr>
        <w:t xml:space="preserve">19-21 </w:t>
      </w:r>
      <w:proofErr w:type="gramStart"/>
      <w:r>
        <w:rPr>
          <w:b/>
        </w:rPr>
        <w:t>March,</w:t>
      </w:r>
      <w:proofErr w:type="gramEnd"/>
      <w:r>
        <w:rPr>
          <w:b/>
        </w:rPr>
        <w:t xml:space="preserve"> 2018 at </w:t>
      </w:r>
      <w:r w:rsidRPr="00825BA0">
        <w:rPr>
          <w:b/>
        </w:rPr>
        <w:t>Jetwing Blue, Negombo</w:t>
      </w:r>
    </w:p>
    <w:p w14:paraId="0C340B90" w14:textId="77777777" w:rsidR="00440AC3" w:rsidRDefault="00440AC3" w:rsidP="00440AC3"/>
    <w:tbl>
      <w:tblPr>
        <w:tblW w:w="9353" w:type="dxa"/>
        <w:tblInd w:w="-3" w:type="dxa"/>
        <w:tblBorders>
          <w:insideH w:val="single" w:sz="4" w:space="0" w:color="auto"/>
        </w:tblBorders>
        <w:tblCellMar>
          <w:left w:w="0" w:type="dxa"/>
          <w:right w:w="0" w:type="dxa"/>
        </w:tblCellMar>
        <w:tblLook w:val="04A0" w:firstRow="1" w:lastRow="0" w:firstColumn="1" w:lastColumn="0" w:noHBand="0" w:noVBand="1"/>
      </w:tblPr>
      <w:tblGrid>
        <w:gridCol w:w="713"/>
        <w:gridCol w:w="2880"/>
        <w:gridCol w:w="3330"/>
        <w:gridCol w:w="2430"/>
      </w:tblGrid>
      <w:tr w:rsidR="00440AC3" w:rsidRPr="007F506D" w14:paraId="6B396C90" w14:textId="77777777" w:rsidTr="00BC5638">
        <w:trPr>
          <w:trHeight w:val="665"/>
        </w:trPr>
        <w:tc>
          <w:tcPr>
            <w:tcW w:w="713"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43AC5566" w14:textId="77777777" w:rsidR="00440AC3" w:rsidRPr="007F506D" w:rsidRDefault="00440AC3" w:rsidP="00BC5638">
            <w:pPr>
              <w:spacing w:after="0"/>
              <w:jc w:val="center"/>
              <w:rPr>
                <w:rFonts w:ascii="Calibri" w:hAnsi="Calibri"/>
                <w:b/>
              </w:rPr>
            </w:pPr>
            <w:r w:rsidRPr="007F506D">
              <w:rPr>
                <w:rFonts w:ascii="Calibri" w:hAnsi="Calibri"/>
                <w:b/>
              </w:rPr>
              <w:t>No.</w:t>
            </w:r>
          </w:p>
        </w:tc>
        <w:tc>
          <w:tcPr>
            <w:tcW w:w="2880"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45550BD6" w14:textId="77777777" w:rsidR="00440AC3" w:rsidRPr="007F506D" w:rsidRDefault="00440AC3" w:rsidP="00BC5638">
            <w:pPr>
              <w:spacing w:after="0"/>
              <w:rPr>
                <w:rFonts w:ascii="Calibri" w:hAnsi="Calibri"/>
                <w:b/>
              </w:rPr>
            </w:pPr>
            <w:r w:rsidRPr="007F506D">
              <w:rPr>
                <w:rFonts w:ascii="Calibri" w:hAnsi="Calibri"/>
                <w:b/>
              </w:rPr>
              <w:t>Name</w:t>
            </w:r>
          </w:p>
        </w:tc>
        <w:tc>
          <w:tcPr>
            <w:tcW w:w="3330"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6AB3EC27" w14:textId="77777777" w:rsidR="00440AC3" w:rsidRPr="007F506D" w:rsidRDefault="00440AC3" w:rsidP="00BC5638">
            <w:pPr>
              <w:spacing w:after="0"/>
              <w:rPr>
                <w:rFonts w:ascii="Calibri" w:hAnsi="Calibri"/>
                <w:b/>
              </w:rPr>
            </w:pPr>
            <w:r w:rsidRPr="007F506D">
              <w:rPr>
                <w:rFonts w:ascii="Calibri" w:hAnsi="Calibri"/>
                <w:b/>
              </w:rPr>
              <w:t>Affiliation</w:t>
            </w:r>
          </w:p>
        </w:tc>
        <w:tc>
          <w:tcPr>
            <w:tcW w:w="2430" w:type="dxa"/>
            <w:tcBorders>
              <w:top w:val="single" w:sz="4" w:space="0" w:color="auto"/>
              <w:bottom w:val="single" w:sz="4" w:space="0" w:color="auto"/>
            </w:tcBorders>
            <w:shd w:val="clear" w:color="auto" w:fill="auto"/>
            <w:vAlign w:val="center"/>
          </w:tcPr>
          <w:p w14:paraId="13778517" w14:textId="77777777" w:rsidR="00440AC3" w:rsidRPr="007F506D" w:rsidRDefault="00440AC3" w:rsidP="00BC5638">
            <w:pPr>
              <w:spacing w:after="0"/>
              <w:rPr>
                <w:rFonts w:ascii="Calibri" w:hAnsi="Calibri"/>
                <w:b/>
              </w:rPr>
            </w:pPr>
            <w:r w:rsidRPr="007F506D">
              <w:rPr>
                <w:rFonts w:ascii="Calibri" w:hAnsi="Calibri"/>
                <w:b/>
              </w:rPr>
              <w:t>Designation</w:t>
            </w:r>
          </w:p>
        </w:tc>
      </w:tr>
      <w:tr w:rsidR="00440AC3" w14:paraId="762E951F" w14:textId="77777777" w:rsidTr="00BC5638">
        <w:trPr>
          <w:trHeight w:val="360"/>
        </w:trPr>
        <w:tc>
          <w:tcPr>
            <w:tcW w:w="713" w:type="dxa"/>
            <w:tcBorders>
              <w:top w:val="single" w:sz="4" w:space="0" w:color="auto"/>
            </w:tcBorders>
            <w:shd w:val="clear" w:color="auto" w:fill="auto"/>
            <w:noWrap/>
            <w:tcMar>
              <w:top w:w="0" w:type="dxa"/>
              <w:left w:w="108" w:type="dxa"/>
              <w:bottom w:w="0" w:type="dxa"/>
              <w:right w:w="108" w:type="dxa"/>
            </w:tcMar>
            <w:vAlign w:val="center"/>
          </w:tcPr>
          <w:p w14:paraId="1506CCC5" w14:textId="77777777" w:rsidR="00440AC3" w:rsidRDefault="00440AC3" w:rsidP="00BC5638">
            <w:pPr>
              <w:spacing w:after="0"/>
              <w:jc w:val="center"/>
              <w:rPr>
                <w:rFonts w:ascii="Calibri" w:hAnsi="Calibri"/>
              </w:rPr>
            </w:pPr>
            <w:r>
              <w:rPr>
                <w:rFonts w:ascii="Calibri" w:hAnsi="Calibri"/>
              </w:rPr>
              <w:t>1</w:t>
            </w:r>
          </w:p>
        </w:tc>
        <w:tc>
          <w:tcPr>
            <w:tcW w:w="2880" w:type="dxa"/>
            <w:tcBorders>
              <w:top w:val="single" w:sz="4" w:space="0" w:color="auto"/>
            </w:tcBorders>
            <w:shd w:val="clear" w:color="auto" w:fill="auto"/>
            <w:noWrap/>
            <w:tcMar>
              <w:top w:w="0" w:type="dxa"/>
              <w:left w:w="108" w:type="dxa"/>
              <w:bottom w:w="0" w:type="dxa"/>
              <w:right w:w="108" w:type="dxa"/>
            </w:tcMar>
            <w:vAlign w:val="center"/>
          </w:tcPr>
          <w:p w14:paraId="40EA702B" w14:textId="77777777" w:rsidR="00440AC3" w:rsidRDefault="00440AC3" w:rsidP="00BC5638">
            <w:pPr>
              <w:spacing w:after="0"/>
              <w:rPr>
                <w:rFonts w:ascii="Calibri" w:hAnsi="Calibri"/>
              </w:rPr>
            </w:pPr>
            <w:r>
              <w:rPr>
                <w:rFonts w:ascii="Calibri" w:hAnsi="Calibri"/>
              </w:rPr>
              <w:t>Sirimal Abeyratne</w:t>
            </w:r>
          </w:p>
        </w:tc>
        <w:tc>
          <w:tcPr>
            <w:tcW w:w="3330" w:type="dxa"/>
            <w:tcBorders>
              <w:top w:val="single" w:sz="4" w:space="0" w:color="auto"/>
            </w:tcBorders>
            <w:shd w:val="clear" w:color="auto" w:fill="auto"/>
            <w:noWrap/>
            <w:tcMar>
              <w:top w:w="0" w:type="dxa"/>
              <w:left w:w="108" w:type="dxa"/>
              <w:bottom w:w="0" w:type="dxa"/>
              <w:right w:w="108" w:type="dxa"/>
            </w:tcMar>
            <w:vAlign w:val="center"/>
          </w:tcPr>
          <w:p w14:paraId="7CDDE9D9" w14:textId="77777777" w:rsidR="00440AC3" w:rsidRDefault="00440AC3" w:rsidP="00BC5638">
            <w:pPr>
              <w:spacing w:after="0"/>
              <w:rPr>
                <w:rFonts w:ascii="Calibri" w:hAnsi="Calibri"/>
              </w:rPr>
            </w:pPr>
            <w:r>
              <w:rPr>
                <w:rFonts w:ascii="Calibri" w:hAnsi="Calibri"/>
              </w:rPr>
              <w:t>University of Colombo</w:t>
            </w:r>
          </w:p>
        </w:tc>
        <w:tc>
          <w:tcPr>
            <w:tcW w:w="2430" w:type="dxa"/>
            <w:tcBorders>
              <w:top w:val="single" w:sz="4" w:space="0" w:color="auto"/>
            </w:tcBorders>
            <w:shd w:val="clear" w:color="auto" w:fill="auto"/>
            <w:vAlign w:val="center"/>
          </w:tcPr>
          <w:p w14:paraId="68612DEE" w14:textId="77777777" w:rsidR="00440AC3" w:rsidRDefault="00440AC3" w:rsidP="00BC5638">
            <w:pPr>
              <w:spacing w:after="0"/>
              <w:rPr>
                <w:rFonts w:ascii="Calibri" w:hAnsi="Calibri"/>
              </w:rPr>
            </w:pPr>
            <w:r>
              <w:rPr>
                <w:rFonts w:ascii="Calibri" w:hAnsi="Calibri"/>
              </w:rPr>
              <w:t>Professor in Economics,</w:t>
            </w:r>
          </w:p>
          <w:p w14:paraId="732BE64A" w14:textId="77777777" w:rsidR="00440AC3" w:rsidRDefault="00440AC3" w:rsidP="00BC5638">
            <w:pPr>
              <w:spacing w:after="0"/>
              <w:rPr>
                <w:rFonts w:ascii="Calibri" w:hAnsi="Calibri"/>
              </w:rPr>
            </w:pPr>
            <w:r>
              <w:rPr>
                <w:rFonts w:ascii="Calibri" w:hAnsi="Calibri"/>
              </w:rPr>
              <w:t>Team Leader - BIOFIN</w:t>
            </w:r>
          </w:p>
        </w:tc>
      </w:tr>
      <w:tr w:rsidR="00440AC3" w14:paraId="1479B022" w14:textId="77777777" w:rsidTr="00BC5638">
        <w:trPr>
          <w:trHeight w:val="360"/>
        </w:trPr>
        <w:tc>
          <w:tcPr>
            <w:tcW w:w="713" w:type="dxa"/>
            <w:shd w:val="clear" w:color="auto" w:fill="auto"/>
            <w:noWrap/>
            <w:tcMar>
              <w:top w:w="0" w:type="dxa"/>
              <w:left w:w="108" w:type="dxa"/>
              <w:bottom w:w="0" w:type="dxa"/>
              <w:right w:w="108" w:type="dxa"/>
            </w:tcMar>
            <w:vAlign w:val="center"/>
          </w:tcPr>
          <w:p w14:paraId="741BCA5C" w14:textId="77777777" w:rsidR="00440AC3" w:rsidRDefault="00440AC3" w:rsidP="00BC5638">
            <w:pPr>
              <w:spacing w:after="0"/>
              <w:jc w:val="center"/>
              <w:rPr>
                <w:rFonts w:ascii="Calibri" w:hAnsi="Calibri"/>
              </w:rPr>
            </w:pPr>
            <w:r>
              <w:rPr>
                <w:rFonts w:ascii="Calibri" w:hAnsi="Calibri"/>
              </w:rPr>
              <w:t>2</w:t>
            </w:r>
          </w:p>
        </w:tc>
        <w:tc>
          <w:tcPr>
            <w:tcW w:w="2880" w:type="dxa"/>
            <w:shd w:val="clear" w:color="auto" w:fill="auto"/>
            <w:noWrap/>
            <w:tcMar>
              <w:top w:w="0" w:type="dxa"/>
              <w:left w:w="108" w:type="dxa"/>
              <w:bottom w:w="0" w:type="dxa"/>
              <w:right w:w="108" w:type="dxa"/>
            </w:tcMar>
            <w:vAlign w:val="center"/>
            <w:hideMark/>
          </w:tcPr>
          <w:p w14:paraId="692F0E40" w14:textId="77777777" w:rsidR="00440AC3" w:rsidRDefault="00440AC3" w:rsidP="00BC5638">
            <w:pPr>
              <w:spacing w:after="0"/>
              <w:rPr>
                <w:rFonts w:ascii="Calibri" w:hAnsi="Calibri"/>
              </w:rPr>
            </w:pPr>
            <w:r>
              <w:rPr>
                <w:rFonts w:ascii="Calibri" w:hAnsi="Calibri"/>
              </w:rPr>
              <w:t xml:space="preserve">K. Amirthalingam, </w:t>
            </w:r>
          </w:p>
        </w:tc>
        <w:tc>
          <w:tcPr>
            <w:tcW w:w="3330" w:type="dxa"/>
            <w:shd w:val="clear" w:color="auto" w:fill="auto"/>
            <w:noWrap/>
            <w:tcMar>
              <w:top w:w="0" w:type="dxa"/>
              <w:left w:w="108" w:type="dxa"/>
              <w:bottom w:w="0" w:type="dxa"/>
              <w:right w:w="108" w:type="dxa"/>
            </w:tcMar>
            <w:vAlign w:val="center"/>
            <w:hideMark/>
          </w:tcPr>
          <w:p w14:paraId="4D429D91" w14:textId="77777777" w:rsidR="00440AC3" w:rsidRDefault="00440AC3" w:rsidP="00BC5638">
            <w:pPr>
              <w:spacing w:after="0"/>
              <w:rPr>
                <w:rFonts w:ascii="Calibri" w:hAnsi="Calibri"/>
              </w:rPr>
            </w:pPr>
            <w:r>
              <w:rPr>
                <w:rFonts w:ascii="Calibri" w:hAnsi="Calibri"/>
              </w:rPr>
              <w:t>University of Colombo</w:t>
            </w:r>
          </w:p>
        </w:tc>
        <w:tc>
          <w:tcPr>
            <w:tcW w:w="2430" w:type="dxa"/>
            <w:shd w:val="clear" w:color="auto" w:fill="auto"/>
            <w:vAlign w:val="center"/>
          </w:tcPr>
          <w:p w14:paraId="0FA3A83C" w14:textId="77777777" w:rsidR="00440AC3" w:rsidRDefault="00440AC3" w:rsidP="00BC5638">
            <w:pPr>
              <w:spacing w:after="0"/>
              <w:rPr>
                <w:rFonts w:ascii="Calibri" w:hAnsi="Calibri"/>
              </w:rPr>
            </w:pPr>
            <w:r>
              <w:rPr>
                <w:rFonts w:ascii="Calibri" w:hAnsi="Calibri"/>
              </w:rPr>
              <w:t>Professor in Economics</w:t>
            </w:r>
          </w:p>
        </w:tc>
      </w:tr>
      <w:tr w:rsidR="00440AC3" w14:paraId="68F40039" w14:textId="77777777" w:rsidTr="00BC5638">
        <w:trPr>
          <w:trHeight w:val="360"/>
        </w:trPr>
        <w:tc>
          <w:tcPr>
            <w:tcW w:w="713" w:type="dxa"/>
            <w:shd w:val="clear" w:color="auto" w:fill="auto"/>
            <w:noWrap/>
            <w:tcMar>
              <w:top w:w="0" w:type="dxa"/>
              <w:left w:w="108" w:type="dxa"/>
              <w:bottom w:w="0" w:type="dxa"/>
              <w:right w:w="108" w:type="dxa"/>
            </w:tcMar>
            <w:vAlign w:val="center"/>
          </w:tcPr>
          <w:p w14:paraId="1B66D3E2" w14:textId="77777777" w:rsidR="00440AC3" w:rsidRDefault="00440AC3" w:rsidP="00BC5638">
            <w:pPr>
              <w:spacing w:after="0"/>
              <w:jc w:val="center"/>
              <w:rPr>
                <w:rFonts w:ascii="Calibri" w:hAnsi="Calibri"/>
              </w:rPr>
            </w:pPr>
            <w:r>
              <w:rPr>
                <w:rFonts w:ascii="Calibri" w:hAnsi="Calibri"/>
              </w:rPr>
              <w:t>3</w:t>
            </w:r>
          </w:p>
        </w:tc>
        <w:tc>
          <w:tcPr>
            <w:tcW w:w="2880" w:type="dxa"/>
            <w:shd w:val="clear" w:color="auto" w:fill="auto"/>
            <w:noWrap/>
            <w:tcMar>
              <w:top w:w="0" w:type="dxa"/>
              <w:left w:w="108" w:type="dxa"/>
              <w:bottom w:w="0" w:type="dxa"/>
              <w:right w:w="108" w:type="dxa"/>
            </w:tcMar>
            <w:vAlign w:val="center"/>
            <w:hideMark/>
          </w:tcPr>
          <w:p w14:paraId="52DB3C2C" w14:textId="77777777" w:rsidR="00440AC3" w:rsidRDefault="00440AC3" w:rsidP="00BC5638">
            <w:pPr>
              <w:spacing w:after="0"/>
              <w:rPr>
                <w:rFonts w:ascii="Calibri" w:hAnsi="Calibri"/>
              </w:rPr>
            </w:pPr>
            <w:r>
              <w:rPr>
                <w:rFonts w:ascii="Calibri" w:hAnsi="Calibri"/>
              </w:rPr>
              <w:t>Shamen Vidanage</w:t>
            </w:r>
          </w:p>
        </w:tc>
        <w:tc>
          <w:tcPr>
            <w:tcW w:w="3330" w:type="dxa"/>
            <w:shd w:val="clear" w:color="auto" w:fill="auto"/>
            <w:noWrap/>
            <w:tcMar>
              <w:top w:w="0" w:type="dxa"/>
              <w:left w:w="108" w:type="dxa"/>
              <w:bottom w:w="0" w:type="dxa"/>
              <w:right w:w="108" w:type="dxa"/>
            </w:tcMar>
            <w:vAlign w:val="center"/>
            <w:hideMark/>
          </w:tcPr>
          <w:p w14:paraId="3FA0513B" w14:textId="77777777" w:rsidR="00440AC3" w:rsidRDefault="00440AC3" w:rsidP="00BC5638">
            <w:pPr>
              <w:spacing w:after="0"/>
              <w:rPr>
                <w:rFonts w:ascii="Calibri" w:hAnsi="Calibri"/>
              </w:rPr>
            </w:pPr>
            <w:r>
              <w:rPr>
                <w:rFonts w:ascii="Calibri" w:hAnsi="Calibri"/>
              </w:rPr>
              <w:t>IUCN</w:t>
            </w:r>
          </w:p>
        </w:tc>
        <w:tc>
          <w:tcPr>
            <w:tcW w:w="2430" w:type="dxa"/>
            <w:shd w:val="clear" w:color="auto" w:fill="auto"/>
            <w:vAlign w:val="center"/>
          </w:tcPr>
          <w:p w14:paraId="045917D5" w14:textId="77777777" w:rsidR="00440AC3" w:rsidRDefault="00440AC3" w:rsidP="00BC5638">
            <w:pPr>
              <w:spacing w:after="0"/>
              <w:rPr>
                <w:rFonts w:ascii="Calibri" w:hAnsi="Calibri"/>
              </w:rPr>
            </w:pPr>
            <w:proofErr w:type="spellStart"/>
            <w:r>
              <w:rPr>
                <w:rFonts w:ascii="Calibri" w:hAnsi="Calibri"/>
              </w:rPr>
              <w:t>Programme</w:t>
            </w:r>
            <w:proofErr w:type="spellEnd"/>
            <w:r>
              <w:rPr>
                <w:rFonts w:ascii="Calibri" w:hAnsi="Calibri"/>
              </w:rPr>
              <w:t xml:space="preserve"> Coordinator</w:t>
            </w:r>
          </w:p>
        </w:tc>
      </w:tr>
      <w:tr w:rsidR="00440AC3" w14:paraId="07122395" w14:textId="77777777" w:rsidTr="00BC5638">
        <w:trPr>
          <w:trHeight w:val="360"/>
        </w:trPr>
        <w:tc>
          <w:tcPr>
            <w:tcW w:w="713" w:type="dxa"/>
            <w:shd w:val="clear" w:color="auto" w:fill="auto"/>
            <w:noWrap/>
            <w:tcMar>
              <w:top w:w="0" w:type="dxa"/>
              <w:left w:w="108" w:type="dxa"/>
              <w:bottom w:w="0" w:type="dxa"/>
              <w:right w:w="108" w:type="dxa"/>
            </w:tcMar>
            <w:vAlign w:val="center"/>
          </w:tcPr>
          <w:p w14:paraId="73B96D3C" w14:textId="77777777" w:rsidR="00440AC3" w:rsidRDefault="00440AC3" w:rsidP="00BC5638">
            <w:pPr>
              <w:spacing w:after="0"/>
              <w:jc w:val="center"/>
              <w:rPr>
                <w:rFonts w:ascii="Calibri" w:hAnsi="Calibri"/>
              </w:rPr>
            </w:pPr>
            <w:r>
              <w:rPr>
                <w:rFonts w:ascii="Calibri" w:hAnsi="Calibri"/>
              </w:rPr>
              <w:t>4</w:t>
            </w:r>
          </w:p>
        </w:tc>
        <w:tc>
          <w:tcPr>
            <w:tcW w:w="2880" w:type="dxa"/>
            <w:shd w:val="clear" w:color="auto" w:fill="auto"/>
            <w:noWrap/>
            <w:tcMar>
              <w:top w:w="0" w:type="dxa"/>
              <w:left w:w="108" w:type="dxa"/>
              <w:bottom w:w="0" w:type="dxa"/>
              <w:right w:w="108" w:type="dxa"/>
            </w:tcMar>
            <w:vAlign w:val="center"/>
            <w:hideMark/>
          </w:tcPr>
          <w:p w14:paraId="2BA09188" w14:textId="77777777" w:rsidR="00440AC3" w:rsidRDefault="00440AC3" w:rsidP="00BC5638">
            <w:pPr>
              <w:spacing w:after="0"/>
              <w:rPr>
                <w:rFonts w:ascii="Calibri" w:hAnsi="Calibri"/>
              </w:rPr>
            </w:pPr>
            <w:r>
              <w:rPr>
                <w:rFonts w:ascii="Calibri" w:hAnsi="Calibri"/>
              </w:rPr>
              <w:t xml:space="preserve">Shiranee </w:t>
            </w:r>
            <w:proofErr w:type="spellStart"/>
            <w:r>
              <w:rPr>
                <w:rFonts w:ascii="Calibri" w:hAnsi="Calibri"/>
              </w:rPr>
              <w:t>Yasarathne</w:t>
            </w:r>
            <w:proofErr w:type="spellEnd"/>
          </w:p>
        </w:tc>
        <w:tc>
          <w:tcPr>
            <w:tcW w:w="3330" w:type="dxa"/>
            <w:shd w:val="clear" w:color="auto" w:fill="auto"/>
            <w:noWrap/>
            <w:tcMar>
              <w:top w:w="0" w:type="dxa"/>
              <w:left w:w="108" w:type="dxa"/>
              <w:bottom w:w="0" w:type="dxa"/>
              <w:right w:w="108" w:type="dxa"/>
            </w:tcMar>
            <w:vAlign w:val="center"/>
            <w:hideMark/>
          </w:tcPr>
          <w:p w14:paraId="49FBD643" w14:textId="77777777" w:rsidR="00440AC3" w:rsidRDefault="00440AC3" w:rsidP="00BC5638">
            <w:pPr>
              <w:spacing w:after="0"/>
              <w:rPr>
                <w:rFonts w:ascii="Calibri" w:hAnsi="Calibri"/>
              </w:rPr>
            </w:pPr>
            <w:r>
              <w:rPr>
                <w:rFonts w:ascii="Calibri" w:hAnsi="Calibri"/>
              </w:rPr>
              <w:t>Biodiversity Sri Lanka</w:t>
            </w:r>
          </w:p>
        </w:tc>
        <w:tc>
          <w:tcPr>
            <w:tcW w:w="2430" w:type="dxa"/>
            <w:shd w:val="clear" w:color="auto" w:fill="auto"/>
            <w:vAlign w:val="center"/>
          </w:tcPr>
          <w:p w14:paraId="5D57A998" w14:textId="77777777" w:rsidR="00440AC3" w:rsidRDefault="00440AC3" w:rsidP="00BC5638">
            <w:pPr>
              <w:spacing w:after="0"/>
              <w:rPr>
                <w:rFonts w:ascii="Calibri" w:hAnsi="Calibri"/>
              </w:rPr>
            </w:pPr>
            <w:r>
              <w:rPr>
                <w:rFonts w:ascii="Calibri" w:hAnsi="Calibri"/>
              </w:rPr>
              <w:t>Advisor</w:t>
            </w:r>
          </w:p>
        </w:tc>
      </w:tr>
      <w:tr w:rsidR="00440AC3" w14:paraId="00138E09" w14:textId="77777777" w:rsidTr="00BC5638">
        <w:trPr>
          <w:trHeight w:val="360"/>
        </w:trPr>
        <w:tc>
          <w:tcPr>
            <w:tcW w:w="713" w:type="dxa"/>
            <w:shd w:val="clear" w:color="auto" w:fill="auto"/>
            <w:noWrap/>
            <w:tcMar>
              <w:top w:w="0" w:type="dxa"/>
              <w:left w:w="108" w:type="dxa"/>
              <w:bottom w:w="0" w:type="dxa"/>
              <w:right w:w="108" w:type="dxa"/>
            </w:tcMar>
            <w:vAlign w:val="center"/>
          </w:tcPr>
          <w:p w14:paraId="5DEBCC2A" w14:textId="77777777" w:rsidR="00440AC3" w:rsidRDefault="00440AC3" w:rsidP="00BC5638">
            <w:pPr>
              <w:spacing w:after="0"/>
              <w:jc w:val="center"/>
              <w:rPr>
                <w:rFonts w:ascii="Calibri" w:hAnsi="Calibri"/>
              </w:rPr>
            </w:pPr>
            <w:r>
              <w:rPr>
                <w:rFonts w:ascii="Calibri" w:hAnsi="Calibri"/>
              </w:rPr>
              <w:t>5</w:t>
            </w:r>
          </w:p>
        </w:tc>
        <w:tc>
          <w:tcPr>
            <w:tcW w:w="2880" w:type="dxa"/>
            <w:shd w:val="clear" w:color="auto" w:fill="auto"/>
            <w:noWrap/>
            <w:tcMar>
              <w:top w:w="0" w:type="dxa"/>
              <w:left w:w="108" w:type="dxa"/>
              <w:bottom w:w="0" w:type="dxa"/>
              <w:right w:w="108" w:type="dxa"/>
            </w:tcMar>
            <w:vAlign w:val="center"/>
            <w:hideMark/>
          </w:tcPr>
          <w:p w14:paraId="3A045A93" w14:textId="77777777" w:rsidR="00440AC3" w:rsidRDefault="00440AC3" w:rsidP="00BC5638">
            <w:pPr>
              <w:spacing w:after="0"/>
              <w:rPr>
                <w:rFonts w:ascii="Calibri" w:hAnsi="Calibri"/>
              </w:rPr>
            </w:pPr>
            <w:r>
              <w:rPr>
                <w:rFonts w:ascii="Calibri" w:hAnsi="Calibri"/>
              </w:rPr>
              <w:t>Ajith De Silva</w:t>
            </w:r>
          </w:p>
        </w:tc>
        <w:tc>
          <w:tcPr>
            <w:tcW w:w="3330" w:type="dxa"/>
            <w:shd w:val="clear" w:color="auto" w:fill="auto"/>
            <w:noWrap/>
            <w:tcMar>
              <w:top w:w="0" w:type="dxa"/>
              <w:left w:w="108" w:type="dxa"/>
              <w:bottom w:w="0" w:type="dxa"/>
              <w:right w:w="108" w:type="dxa"/>
            </w:tcMar>
            <w:vAlign w:val="center"/>
            <w:hideMark/>
          </w:tcPr>
          <w:p w14:paraId="541381C8" w14:textId="77777777" w:rsidR="00440AC3" w:rsidRDefault="00440AC3" w:rsidP="00BC5638">
            <w:pPr>
              <w:spacing w:after="0"/>
              <w:rPr>
                <w:rFonts w:ascii="Calibri" w:hAnsi="Calibri"/>
              </w:rPr>
            </w:pPr>
            <w:r>
              <w:rPr>
                <w:rFonts w:ascii="Calibri" w:hAnsi="Calibri"/>
              </w:rPr>
              <w:t>Ministry of Mahaweli Development and Environment</w:t>
            </w:r>
          </w:p>
        </w:tc>
        <w:tc>
          <w:tcPr>
            <w:tcW w:w="2430" w:type="dxa"/>
            <w:shd w:val="clear" w:color="auto" w:fill="auto"/>
            <w:vAlign w:val="center"/>
          </w:tcPr>
          <w:p w14:paraId="0B66C155" w14:textId="77777777" w:rsidR="00440AC3" w:rsidRDefault="00440AC3" w:rsidP="00BC5638">
            <w:pPr>
              <w:spacing w:after="0"/>
              <w:rPr>
                <w:rFonts w:ascii="Calibri" w:hAnsi="Calibri"/>
              </w:rPr>
            </w:pPr>
            <w:r>
              <w:rPr>
                <w:rFonts w:ascii="Calibri" w:hAnsi="Calibri"/>
              </w:rPr>
              <w:t>Director – Land Resources</w:t>
            </w:r>
          </w:p>
        </w:tc>
      </w:tr>
      <w:tr w:rsidR="00440AC3" w14:paraId="075CEAC3" w14:textId="77777777" w:rsidTr="00BC5638">
        <w:trPr>
          <w:trHeight w:val="360"/>
        </w:trPr>
        <w:tc>
          <w:tcPr>
            <w:tcW w:w="713" w:type="dxa"/>
            <w:shd w:val="clear" w:color="auto" w:fill="auto"/>
            <w:noWrap/>
            <w:tcMar>
              <w:top w:w="0" w:type="dxa"/>
              <w:left w:w="108" w:type="dxa"/>
              <w:bottom w:w="0" w:type="dxa"/>
              <w:right w:w="108" w:type="dxa"/>
            </w:tcMar>
            <w:vAlign w:val="center"/>
          </w:tcPr>
          <w:p w14:paraId="093C8C92" w14:textId="77777777" w:rsidR="00440AC3" w:rsidRDefault="00440AC3" w:rsidP="00BC5638">
            <w:pPr>
              <w:spacing w:after="0"/>
              <w:jc w:val="center"/>
              <w:rPr>
                <w:rFonts w:ascii="Calibri" w:hAnsi="Calibri"/>
              </w:rPr>
            </w:pPr>
            <w:r>
              <w:rPr>
                <w:rFonts w:ascii="Calibri" w:hAnsi="Calibri"/>
              </w:rPr>
              <w:t>6</w:t>
            </w:r>
          </w:p>
        </w:tc>
        <w:tc>
          <w:tcPr>
            <w:tcW w:w="2880" w:type="dxa"/>
            <w:shd w:val="clear" w:color="auto" w:fill="auto"/>
            <w:noWrap/>
            <w:tcMar>
              <w:top w:w="0" w:type="dxa"/>
              <w:left w:w="108" w:type="dxa"/>
              <w:bottom w:w="0" w:type="dxa"/>
              <w:right w:w="108" w:type="dxa"/>
            </w:tcMar>
            <w:vAlign w:val="center"/>
            <w:hideMark/>
          </w:tcPr>
          <w:p w14:paraId="72E97156" w14:textId="77777777" w:rsidR="00440AC3" w:rsidRDefault="00440AC3" w:rsidP="00BC5638">
            <w:pPr>
              <w:spacing w:after="0"/>
              <w:rPr>
                <w:rFonts w:ascii="Calibri" w:hAnsi="Calibri"/>
              </w:rPr>
            </w:pPr>
            <w:r>
              <w:rPr>
                <w:rFonts w:ascii="Calibri" w:hAnsi="Calibri"/>
              </w:rPr>
              <w:t>Nilmini Ranasinghe</w:t>
            </w:r>
          </w:p>
        </w:tc>
        <w:tc>
          <w:tcPr>
            <w:tcW w:w="3330" w:type="dxa"/>
            <w:shd w:val="clear" w:color="auto" w:fill="auto"/>
            <w:noWrap/>
            <w:tcMar>
              <w:top w:w="0" w:type="dxa"/>
              <w:left w:w="108" w:type="dxa"/>
              <w:bottom w:w="0" w:type="dxa"/>
              <w:right w:w="108" w:type="dxa"/>
            </w:tcMar>
            <w:vAlign w:val="center"/>
            <w:hideMark/>
          </w:tcPr>
          <w:p w14:paraId="00ADF5DD" w14:textId="77777777" w:rsidR="00440AC3" w:rsidRDefault="00440AC3" w:rsidP="00BC5638">
            <w:pPr>
              <w:spacing w:after="0"/>
              <w:rPr>
                <w:rFonts w:ascii="Calibri" w:hAnsi="Calibri"/>
              </w:rPr>
            </w:pPr>
            <w:r>
              <w:rPr>
                <w:rFonts w:ascii="Calibri" w:hAnsi="Calibri"/>
              </w:rPr>
              <w:t>Ministry of Mahaweli Development and Environment</w:t>
            </w:r>
          </w:p>
        </w:tc>
        <w:tc>
          <w:tcPr>
            <w:tcW w:w="2430" w:type="dxa"/>
            <w:shd w:val="clear" w:color="auto" w:fill="auto"/>
            <w:vAlign w:val="center"/>
          </w:tcPr>
          <w:p w14:paraId="2CBDC5E0" w14:textId="77777777" w:rsidR="00440AC3" w:rsidRDefault="00440AC3" w:rsidP="00BC5638">
            <w:pPr>
              <w:spacing w:after="0"/>
              <w:rPr>
                <w:rFonts w:ascii="Calibri" w:hAnsi="Calibri"/>
              </w:rPr>
            </w:pPr>
            <w:r>
              <w:rPr>
                <w:rFonts w:ascii="Calibri" w:hAnsi="Calibri"/>
              </w:rPr>
              <w:t>Assistant Director - Biodiversity Secretariat</w:t>
            </w:r>
          </w:p>
        </w:tc>
      </w:tr>
      <w:tr w:rsidR="00440AC3" w14:paraId="706A15DC" w14:textId="77777777" w:rsidTr="00BC5638">
        <w:trPr>
          <w:trHeight w:val="360"/>
        </w:trPr>
        <w:tc>
          <w:tcPr>
            <w:tcW w:w="713" w:type="dxa"/>
            <w:shd w:val="clear" w:color="auto" w:fill="auto"/>
            <w:noWrap/>
            <w:tcMar>
              <w:top w:w="0" w:type="dxa"/>
              <w:left w:w="108" w:type="dxa"/>
              <w:bottom w:w="0" w:type="dxa"/>
              <w:right w:w="108" w:type="dxa"/>
            </w:tcMar>
            <w:vAlign w:val="center"/>
          </w:tcPr>
          <w:p w14:paraId="12A6E54A" w14:textId="77777777" w:rsidR="00440AC3" w:rsidRDefault="00440AC3" w:rsidP="00BC5638">
            <w:pPr>
              <w:spacing w:after="0"/>
              <w:jc w:val="center"/>
              <w:rPr>
                <w:rFonts w:ascii="Calibri" w:hAnsi="Calibri"/>
              </w:rPr>
            </w:pPr>
            <w:r>
              <w:rPr>
                <w:rFonts w:ascii="Calibri" w:hAnsi="Calibri"/>
              </w:rPr>
              <w:t>7</w:t>
            </w:r>
          </w:p>
        </w:tc>
        <w:tc>
          <w:tcPr>
            <w:tcW w:w="2880" w:type="dxa"/>
            <w:shd w:val="clear" w:color="auto" w:fill="auto"/>
            <w:noWrap/>
            <w:tcMar>
              <w:top w:w="0" w:type="dxa"/>
              <w:left w:w="108" w:type="dxa"/>
              <w:bottom w:w="0" w:type="dxa"/>
              <w:right w:w="108" w:type="dxa"/>
            </w:tcMar>
            <w:vAlign w:val="center"/>
            <w:hideMark/>
          </w:tcPr>
          <w:p w14:paraId="27B70AAF" w14:textId="77777777" w:rsidR="00440AC3" w:rsidRDefault="00440AC3" w:rsidP="00BC5638">
            <w:pPr>
              <w:spacing w:after="0"/>
              <w:rPr>
                <w:rFonts w:ascii="Calibri" w:hAnsi="Calibri"/>
              </w:rPr>
            </w:pPr>
            <w:r>
              <w:rPr>
                <w:rFonts w:ascii="Calibri" w:hAnsi="Calibri"/>
              </w:rPr>
              <w:t>Hemamali Herath</w:t>
            </w:r>
          </w:p>
        </w:tc>
        <w:tc>
          <w:tcPr>
            <w:tcW w:w="3330" w:type="dxa"/>
            <w:shd w:val="clear" w:color="auto" w:fill="auto"/>
            <w:noWrap/>
            <w:tcMar>
              <w:top w:w="0" w:type="dxa"/>
              <w:left w:w="108" w:type="dxa"/>
              <w:bottom w:w="0" w:type="dxa"/>
              <w:right w:w="108" w:type="dxa"/>
            </w:tcMar>
            <w:vAlign w:val="center"/>
            <w:hideMark/>
          </w:tcPr>
          <w:p w14:paraId="34219FA6" w14:textId="77777777" w:rsidR="00440AC3" w:rsidRDefault="00440AC3" w:rsidP="00BC5638">
            <w:pPr>
              <w:spacing w:after="0"/>
              <w:rPr>
                <w:rFonts w:ascii="Calibri" w:hAnsi="Calibri"/>
              </w:rPr>
            </w:pPr>
            <w:r>
              <w:rPr>
                <w:rFonts w:ascii="Calibri" w:hAnsi="Calibri"/>
              </w:rPr>
              <w:t>Ministry of Mahaweli Development and Environment</w:t>
            </w:r>
          </w:p>
        </w:tc>
        <w:tc>
          <w:tcPr>
            <w:tcW w:w="2430" w:type="dxa"/>
            <w:shd w:val="clear" w:color="auto" w:fill="auto"/>
            <w:vAlign w:val="center"/>
          </w:tcPr>
          <w:p w14:paraId="08F66AC1" w14:textId="77777777" w:rsidR="00440AC3" w:rsidRDefault="00440AC3" w:rsidP="00BC5638">
            <w:pPr>
              <w:spacing w:after="0"/>
              <w:rPr>
                <w:rFonts w:ascii="Calibri" w:hAnsi="Calibri"/>
              </w:rPr>
            </w:pPr>
            <w:r>
              <w:rPr>
                <w:rFonts w:ascii="Calibri" w:hAnsi="Calibri"/>
              </w:rPr>
              <w:t xml:space="preserve">Research Assistant - </w:t>
            </w:r>
            <w:r w:rsidRPr="001F03DD">
              <w:rPr>
                <w:rFonts w:ascii="Calibri" w:hAnsi="Calibri"/>
              </w:rPr>
              <w:t>Biodiversity Secretariat</w:t>
            </w:r>
          </w:p>
        </w:tc>
      </w:tr>
      <w:tr w:rsidR="00440AC3" w14:paraId="0B0C331F" w14:textId="77777777" w:rsidTr="00BC5638">
        <w:trPr>
          <w:trHeight w:val="360"/>
        </w:trPr>
        <w:tc>
          <w:tcPr>
            <w:tcW w:w="713" w:type="dxa"/>
            <w:shd w:val="clear" w:color="auto" w:fill="auto"/>
            <w:noWrap/>
            <w:tcMar>
              <w:top w:w="0" w:type="dxa"/>
              <w:left w:w="108" w:type="dxa"/>
              <w:bottom w:w="0" w:type="dxa"/>
              <w:right w:w="108" w:type="dxa"/>
            </w:tcMar>
            <w:vAlign w:val="center"/>
          </w:tcPr>
          <w:p w14:paraId="30D593C5" w14:textId="77777777" w:rsidR="00440AC3" w:rsidRDefault="00440AC3" w:rsidP="00BC5638">
            <w:pPr>
              <w:spacing w:after="0"/>
              <w:jc w:val="center"/>
              <w:rPr>
                <w:rFonts w:ascii="Calibri" w:hAnsi="Calibri"/>
              </w:rPr>
            </w:pPr>
            <w:r>
              <w:rPr>
                <w:rFonts w:ascii="Calibri" w:hAnsi="Calibri"/>
              </w:rPr>
              <w:t>8</w:t>
            </w:r>
          </w:p>
        </w:tc>
        <w:tc>
          <w:tcPr>
            <w:tcW w:w="2880" w:type="dxa"/>
            <w:shd w:val="clear" w:color="auto" w:fill="auto"/>
            <w:noWrap/>
            <w:tcMar>
              <w:top w:w="0" w:type="dxa"/>
              <w:left w:w="108" w:type="dxa"/>
              <w:bottom w:w="0" w:type="dxa"/>
              <w:right w:w="108" w:type="dxa"/>
            </w:tcMar>
            <w:vAlign w:val="center"/>
            <w:hideMark/>
          </w:tcPr>
          <w:p w14:paraId="0C92AB96" w14:textId="77777777" w:rsidR="00440AC3" w:rsidRDefault="00440AC3" w:rsidP="00BC5638">
            <w:pPr>
              <w:spacing w:after="0"/>
              <w:rPr>
                <w:rFonts w:ascii="Calibri" w:hAnsi="Calibri"/>
              </w:rPr>
            </w:pPr>
            <w:r>
              <w:rPr>
                <w:rFonts w:ascii="Calibri" w:hAnsi="Calibri"/>
              </w:rPr>
              <w:t xml:space="preserve">Sampath </w:t>
            </w:r>
            <w:proofErr w:type="spellStart"/>
            <w:r>
              <w:rPr>
                <w:rFonts w:ascii="Calibri" w:hAnsi="Calibri"/>
              </w:rPr>
              <w:t>Ganepalarachchi</w:t>
            </w:r>
            <w:proofErr w:type="spellEnd"/>
          </w:p>
        </w:tc>
        <w:tc>
          <w:tcPr>
            <w:tcW w:w="3330" w:type="dxa"/>
            <w:shd w:val="clear" w:color="auto" w:fill="auto"/>
            <w:noWrap/>
            <w:tcMar>
              <w:top w:w="0" w:type="dxa"/>
              <w:left w:w="108" w:type="dxa"/>
              <w:bottom w:w="0" w:type="dxa"/>
              <w:right w:w="108" w:type="dxa"/>
            </w:tcMar>
            <w:vAlign w:val="center"/>
            <w:hideMark/>
          </w:tcPr>
          <w:p w14:paraId="71CD43C0" w14:textId="77777777" w:rsidR="00440AC3" w:rsidRDefault="00440AC3" w:rsidP="00BC5638">
            <w:pPr>
              <w:spacing w:after="0"/>
              <w:rPr>
                <w:rFonts w:ascii="Calibri" w:hAnsi="Calibri"/>
              </w:rPr>
            </w:pPr>
            <w:r>
              <w:rPr>
                <w:rFonts w:ascii="Calibri" w:hAnsi="Calibri"/>
              </w:rPr>
              <w:t>Sri Lanka Tourism Development Authority</w:t>
            </w:r>
          </w:p>
        </w:tc>
        <w:tc>
          <w:tcPr>
            <w:tcW w:w="2430" w:type="dxa"/>
            <w:shd w:val="clear" w:color="auto" w:fill="auto"/>
            <w:vAlign w:val="center"/>
          </w:tcPr>
          <w:p w14:paraId="6AAD07AC" w14:textId="77777777" w:rsidR="00440AC3" w:rsidRDefault="00440AC3" w:rsidP="00BC5638">
            <w:pPr>
              <w:spacing w:after="0"/>
              <w:rPr>
                <w:rFonts w:ascii="Calibri" w:hAnsi="Calibri"/>
              </w:rPr>
            </w:pPr>
            <w:r>
              <w:rPr>
                <w:rFonts w:ascii="Calibri" w:hAnsi="Calibri"/>
              </w:rPr>
              <w:t>Director - Finance</w:t>
            </w:r>
          </w:p>
        </w:tc>
      </w:tr>
      <w:tr w:rsidR="00440AC3" w14:paraId="64AC9D01" w14:textId="77777777" w:rsidTr="00BC5638">
        <w:trPr>
          <w:trHeight w:val="360"/>
        </w:trPr>
        <w:tc>
          <w:tcPr>
            <w:tcW w:w="713" w:type="dxa"/>
            <w:shd w:val="clear" w:color="auto" w:fill="auto"/>
            <w:noWrap/>
            <w:tcMar>
              <w:top w:w="0" w:type="dxa"/>
              <w:left w:w="108" w:type="dxa"/>
              <w:bottom w:w="0" w:type="dxa"/>
              <w:right w:w="108" w:type="dxa"/>
            </w:tcMar>
            <w:vAlign w:val="center"/>
          </w:tcPr>
          <w:p w14:paraId="6E11D35F" w14:textId="77777777" w:rsidR="00440AC3" w:rsidRDefault="00440AC3" w:rsidP="00BC5638">
            <w:pPr>
              <w:spacing w:after="0"/>
              <w:jc w:val="center"/>
              <w:rPr>
                <w:rFonts w:ascii="Calibri" w:hAnsi="Calibri"/>
              </w:rPr>
            </w:pPr>
            <w:r>
              <w:rPr>
                <w:rFonts w:ascii="Calibri" w:hAnsi="Calibri"/>
              </w:rPr>
              <w:t>9</w:t>
            </w:r>
          </w:p>
        </w:tc>
        <w:tc>
          <w:tcPr>
            <w:tcW w:w="2880" w:type="dxa"/>
            <w:shd w:val="clear" w:color="auto" w:fill="auto"/>
            <w:noWrap/>
            <w:tcMar>
              <w:top w:w="0" w:type="dxa"/>
              <w:left w:w="108" w:type="dxa"/>
              <w:bottom w:w="0" w:type="dxa"/>
              <w:right w:w="108" w:type="dxa"/>
            </w:tcMar>
            <w:vAlign w:val="center"/>
            <w:hideMark/>
          </w:tcPr>
          <w:p w14:paraId="3CE6DCAC" w14:textId="77777777" w:rsidR="00440AC3" w:rsidRDefault="00440AC3" w:rsidP="00BC5638">
            <w:pPr>
              <w:spacing w:after="0"/>
              <w:rPr>
                <w:rFonts w:ascii="Calibri" w:hAnsi="Calibri"/>
              </w:rPr>
            </w:pPr>
            <w:r>
              <w:rPr>
                <w:rFonts w:ascii="Calibri" w:hAnsi="Calibri"/>
              </w:rPr>
              <w:t xml:space="preserve">Devaka Weerakoon, </w:t>
            </w:r>
          </w:p>
        </w:tc>
        <w:tc>
          <w:tcPr>
            <w:tcW w:w="3330" w:type="dxa"/>
            <w:shd w:val="clear" w:color="auto" w:fill="auto"/>
            <w:noWrap/>
            <w:tcMar>
              <w:top w:w="0" w:type="dxa"/>
              <w:left w:w="108" w:type="dxa"/>
              <w:bottom w:w="0" w:type="dxa"/>
              <w:right w:w="108" w:type="dxa"/>
            </w:tcMar>
            <w:vAlign w:val="center"/>
            <w:hideMark/>
          </w:tcPr>
          <w:p w14:paraId="7FAC8161" w14:textId="77777777" w:rsidR="00440AC3" w:rsidRDefault="00440AC3" w:rsidP="00BC5638">
            <w:pPr>
              <w:spacing w:after="0"/>
              <w:rPr>
                <w:rFonts w:ascii="Calibri" w:hAnsi="Calibri"/>
              </w:rPr>
            </w:pPr>
            <w:r>
              <w:rPr>
                <w:rFonts w:ascii="Calibri" w:hAnsi="Calibri"/>
              </w:rPr>
              <w:t>University of Colombo</w:t>
            </w:r>
          </w:p>
        </w:tc>
        <w:tc>
          <w:tcPr>
            <w:tcW w:w="2430" w:type="dxa"/>
            <w:shd w:val="clear" w:color="auto" w:fill="auto"/>
            <w:vAlign w:val="center"/>
          </w:tcPr>
          <w:p w14:paraId="17EC70B5" w14:textId="77777777" w:rsidR="00440AC3" w:rsidRDefault="00440AC3" w:rsidP="00BC5638">
            <w:pPr>
              <w:spacing w:after="0"/>
              <w:rPr>
                <w:rFonts w:ascii="Calibri" w:hAnsi="Calibri"/>
              </w:rPr>
            </w:pPr>
            <w:r>
              <w:rPr>
                <w:rFonts w:ascii="Calibri" w:hAnsi="Calibri"/>
              </w:rPr>
              <w:t>Professor in Zoology</w:t>
            </w:r>
          </w:p>
        </w:tc>
      </w:tr>
      <w:tr w:rsidR="00440AC3" w14:paraId="37F4AE84" w14:textId="77777777" w:rsidTr="00BC5638">
        <w:trPr>
          <w:trHeight w:val="360"/>
        </w:trPr>
        <w:tc>
          <w:tcPr>
            <w:tcW w:w="713" w:type="dxa"/>
            <w:shd w:val="clear" w:color="auto" w:fill="auto"/>
            <w:noWrap/>
            <w:tcMar>
              <w:top w:w="0" w:type="dxa"/>
              <w:left w:w="108" w:type="dxa"/>
              <w:bottom w:w="0" w:type="dxa"/>
              <w:right w:w="108" w:type="dxa"/>
            </w:tcMar>
            <w:vAlign w:val="center"/>
          </w:tcPr>
          <w:p w14:paraId="4D10139E" w14:textId="77777777" w:rsidR="00440AC3" w:rsidRDefault="00440AC3" w:rsidP="00BC5638">
            <w:pPr>
              <w:spacing w:after="0"/>
              <w:jc w:val="center"/>
              <w:rPr>
                <w:rFonts w:ascii="Calibri" w:hAnsi="Calibri"/>
              </w:rPr>
            </w:pPr>
            <w:r>
              <w:rPr>
                <w:rFonts w:ascii="Calibri" w:hAnsi="Calibri"/>
              </w:rPr>
              <w:t>10</w:t>
            </w:r>
          </w:p>
        </w:tc>
        <w:tc>
          <w:tcPr>
            <w:tcW w:w="2880" w:type="dxa"/>
            <w:shd w:val="clear" w:color="auto" w:fill="auto"/>
            <w:noWrap/>
            <w:tcMar>
              <w:top w:w="0" w:type="dxa"/>
              <w:left w:w="108" w:type="dxa"/>
              <w:bottom w:w="0" w:type="dxa"/>
              <w:right w:w="108" w:type="dxa"/>
            </w:tcMar>
            <w:vAlign w:val="center"/>
            <w:hideMark/>
          </w:tcPr>
          <w:p w14:paraId="7CCD6F95" w14:textId="77777777" w:rsidR="00440AC3" w:rsidRDefault="00440AC3" w:rsidP="00BC5638">
            <w:pPr>
              <w:spacing w:after="0"/>
              <w:rPr>
                <w:rFonts w:ascii="Calibri" w:hAnsi="Calibri"/>
              </w:rPr>
            </w:pPr>
            <w:proofErr w:type="spellStart"/>
            <w:r>
              <w:rPr>
                <w:rFonts w:ascii="Calibri" w:hAnsi="Calibri"/>
              </w:rPr>
              <w:t>Jinie</w:t>
            </w:r>
            <w:proofErr w:type="spellEnd"/>
            <w:r>
              <w:rPr>
                <w:rFonts w:ascii="Calibri" w:hAnsi="Calibri"/>
              </w:rPr>
              <w:t xml:space="preserve"> Dela</w:t>
            </w:r>
          </w:p>
        </w:tc>
        <w:tc>
          <w:tcPr>
            <w:tcW w:w="3330" w:type="dxa"/>
            <w:shd w:val="clear" w:color="auto" w:fill="auto"/>
            <w:noWrap/>
            <w:tcMar>
              <w:top w:w="0" w:type="dxa"/>
              <w:left w:w="108" w:type="dxa"/>
              <w:bottom w:w="0" w:type="dxa"/>
              <w:right w:w="108" w:type="dxa"/>
            </w:tcMar>
            <w:vAlign w:val="center"/>
            <w:hideMark/>
          </w:tcPr>
          <w:p w14:paraId="703EA980" w14:textId="77777777" w:rsidR="00440AC3" w:rsidRDefault="00440AC3" w:rsidP="00BC5638">
            <w:pPr>
              <w:spacing w:after="0"/>
              <w:rPr>
                <w:rFonts w:ascii="Calibri" w:hAnsi="Calibri"/>
              </w:rPr>
            </w:pPr>
            <w:r>
              <w:rPr>
                <w:rFonts w:ascii="Calibri" w:hAnsi="Calibri"/>
              </w:rPr>
              <w:t>UNDP</w:t>
            </w:r>
          </w:p>
        </w:tc>
        <w:tc>
          <w:tcPr>
            <w:tcW w:w="2430" w:type="dxa"/>
            <w:shd w:val="clear" w:color="auto" w:fill="auto"/>
            <w:vAlign w:val="center"/>
          </w:tcPr>
          <w:p w14:paraId="2EF995CD" w14:textId="77777777" w:rsidR="00440AC3" w:rsidRDefault="00440AC3" w:rsidP="00BC5638">
            <w:pPr>
              <w:spacing w:after="0"/>
              <w:rPr>
                <w:rFonts w:ascii="Calibri" w:hAnsi="Calibri"/>
              </w:rPr>
            </w:pPr>
            <w:r>
              <w:rPr>
                <w:rFonts w:ascii="Calibri" w:hAnsi="Calibri"/>
              </w:rPr>
              <w:t>Consultant</w:t>
            </w:r>
          </w:p>
        </w:tc>
      </w:tr>
      <w:tr w:rsidR="00440AC3" w14:paraId="7563FC0D" w14:textId="77777777" w:rsidTr="00BC5638">
        <w:trPr>
          <w:trHeight w:val="360"/>
        </w:trPr>
        <w:tc>
          <w:tcPr>
            <w:tcW w:w="713" w:type="dxa"/>
            <w:shd w:val="clear" w:color="auto" w:fill="auto"/>
            <w:noWrap/>
            <w:tcMar>
              <w:top w:w="0" w:type="dxa"/>
              <w:left w:w="108" w:type="dxa"/>
              <w:bottom w:w="0" w:type="dxa"/>
              <w:right w:w="108" w:type="dxa"/>
            </w:tcMar>
            <w:vAlign w:val="center"/>
          </w:tcPr>
          <w:p w14:paraId="40D7DE03" w14:textId="77777777" w:rsidR="00440AC3" w:rsidRDefault="00440AC3" w:rsidP="00BC5638">
            <w:pPr>
              <w:spacing w:after="0"/>
              <w:jc w:val="center"/>
              <w:rPr>
                <w:rFonts w:ascii="Calibri" w:hAnsi="Calibri"/>
              </w:rPr>
            </w:pPr>
            <w:r>
              <w:rPr>
                <w:rFonts w:ascii="Calibri" w:hAnsi="Calibri"/>
              </w:rPr>
              <w:t>11</w:t>
            </w:r>
          </w:p>
        </w:tc>
        <w:tc>
          <w:tcPr>
            <w:tcW w:w="2880" w:type="dxa"/>
            <w:shd w:val="clear" w:color="auto" w:fill="auto"/>
            <w:noWrap/>
            <w:tcMar>
              <w:top w:w="0" w:type="dxa"/>
              <w:left w:w="108" w:type="dxa"/>
              <w:bottom w:w="0" w:type="dxa"/>
              <w:right w:w="108" w:type="dxa"/>
            </w:tcMar>
            <w:vAlign w:val="center"/>
            <w:hideMark/>
          </w:tcPr>
          <w:p w14:paraId="346CEDAF" w14:textId="77777777" w:rsidR="00440AC3" w:rsidRDefault="00440AC3" w:rsidP="00BC5638">
            <w:pPr>
              <w:spacing w:after="0"/>
              <w:rPr>
                <w:rFonts w:ascii="Calibri" w:hAnsi="Calibri"/>
              </w:rPr>
            </w:pPr>
            <w:proofErr w:type="spellStart"/>
            <w:r>
              <w:rPr>
                <w:rFonts w:ascii="Calibri" w:hAnsi="Calibri"/>
              </w:rPr>
              <w:t>Lakmini</w:t>
            </w:r>
            <w:proofErr w:type="spellEnd"/>
            <w:r>
              <w:rPr>
                <w:rFonts w:ascii="Calibri" w:hAnsi="Calibri"/>
              </w:rPr>
              <w:t xml:space="preserve"> </w:t>
            </w:r>
            <w:proofErr w:type="spellStart"/>
            <w:r>
              <w:rPr>
                <w:rFonts w:ascii="Calibri" w:hAnsi="Calibri"/>
              </w:rPr>
              <w:t>Senadeera</w:t>
            </w:r>
            <w:proofErr w:type="spellEnd"/>
          </w:p>
        </w:tc>
        <w:tc>
          <w:tcPr>
            <w:tcW w:w="3330" w:type="dxa"/>
            <w:shd w:val="clear" w:color="auto" w:fill="auto"/>
            <w:noWrap/>
            <w:tcMar>
              <w:top w:w="0" w:type="dxa"/>
              <w:left w:w="108" w:type="dxa"/>
              <w:bottom w:w="0" w:type="dxa"/>
              <w:right w:w="108" w:type="dxa"/>
            </w:tcMar>
            <w:vAlign w:val="center"/>
            <w:hideMark/>
          </w:tcPr>
          <w:p w14:paraId="51E72F2F" w14:textId="77777777" w:rsidR="00440AC3" w:rsidRDefault="00440AC3" w:rsidP="00BC5638">
            <w:pPr>
              <w:spacing w:after="0"/>
              <w:rPr>
                <w:rFonts w:ascii="Calibri" w:hAnsi="Calibri"/>
              </w:rPr>
            </w:pPr>
            <w:r>
              <w:rPr>
                <w:rFonts w:ascii="Calibri" w:hAnsi="Calibri"/>
              </w:rPr>
              <w:t>The Sustainable Future Group</w:t>
            </w:r>
          </w:p>
        </w:tc>
        <w:tc>
          <w:tcPr>
            <w:tcW w:w="2430" w:type="dxa"/>
            <w:shd w:val="clear" w:color="auto" w:fill="auto"/>
            <w:vAlign w:val="center"/>
          </w:tcPr>
          <w:p w14:paraId="2D0A0B65" w14:textId="77777777" w:rsidR="00440AC3" w:rsidRDefault="00440AC3" w:rsidP="00BC5638">
            <w:pPr>
              <w:spacing w:after="0"/>
              <w:rPr>
                <w:rFonts w:ascii="Calibri" w:hAnsi="Calibri"/>
              </w:rPr>
            </w:pPr>
            <w:r>
              <w:rPr>
                <w:rFonts w:ascii="Calibri" w:hAnsi="Calibri"/>
              </w:rPr>
              <w:t xml:space="preserve">Manager </w:t>
            </w:r>
          </w:p>
        </w:tc>
      </w:tr>
      <w:tr w:rsidR="00440AC3" w14:paraId="742BD675" w14:textId="77777777" w:rsidTr="00BC5638">
        <w:trPr>
          <w:trHeight w:val="360"/>
        </w:trPr>
        <w:tc>
          <w:tcPr>
            <w:tcW w:w="713" w:type="dxa"/>
            <w:shd w:val="clear" w:color="auto" w:fill="auto"/>
            <w:noWrap/>
            <w:tcMar>
              <w:top w:w="0" w:type="dxa"/>
              <w:left w:w="108" w:type="dxa"/>
              <w:bottom w:w="0" w:type="dxa"/>
              <w:right w:w="108" w:type="dxa"/>
            </w:tcMar>
            <w:vAlign w:val="center"/>
          </w:tcPr>
          <w:p w14:paraId="17C9812D" w14:textId="77777777" w:rsidR="00440AC3" w:rsidRDefault="00440AC3" w:rsidP="00BC5638">
            <w:pPr>
              <w:spacing w:after="0"/>
              <w:jc w:val="center"/>
              <w:rPr>
                <w:rFonts w:ascii="Calibri" w:hAnsi="Calibri"/>
              </w:rPr>
            </w:pPr>
            <w:r>
              <w:rPr>
                <w:rFonts w:ascii="Calibri" w:hAnsi="Calibri"/>
              </w:rPr>
              <w:t>12</w:t>
            </w:r>
          </w:p>
        </w:tc>
        <w:tc>
          <w:tcPr>
            <w:tcW w:w="2880" w:type="dxa"/>
            <w:shd w:val="clear" w:color="auto" w:fill="auto"/>
            <w:noWrap/>
            <w:tcMar>
              <w:top w:w="0" w:type="dxa"/>
              <w:left w:w="108" w:type="dxa"/>
              <w:bottom w:w="0" w:type="dxa"/>
              <w:right w:w="108" w:type="dxa"/>
            </w:tcMar>
            <w:vAlign w:val="center"/>
            <w:hideMark/>
          </w:tcPr>
          <w:p w14:paraId="286D57F7" w14:textId="77777777" w:rsidR="00440AC3" w:rsidRDefault="00440AC3" w:rsidP="00BC5638">
            <w:pPr>
              <w:spacing w:after="0"/>
              <w:rPr>
                <w:rFonts w:ascii="Calibri" w:hAnsi="Calibri"/>
              </w:rPr>
            </w:pPr>
            <w:proofErr w:type="spellStart"/>
            <w:r>
              <w:rPr>
                <w:rFonts w:ascii="Calibri" w:hAnsi="Calibri"/>
              </w:rPr>
              <w:t>Eranda</w:t>
            </w:r>
            <w:proofErr w:type="spellEnd"/>
            <w:r>
              <w:rPr>
                <w:rFonts w:ascii="Calibri" w:hAnsi="Calibri"/>
              </w:rPr>
              <w:t xml:space="preserve"> Gamage</w:t>
            </w:r>
          </w:p>
        </w:tc>
        <w:tc>
          <w:tcPr>
            <w:tcW w:w="3330" w:type="dxa"/>
            <w:shd w:val="clear" w:color="auto" w:fill="auto"/>
            <w:noWrap/>
            <w:tcMar>
              <w:top w:w="0" w:type="dxa"/>
              <w:left w:w="108" w:type="dxa"/>
              <w:bottom w:w="0" w:type="dxa"/>
              <w:right w:w="108" w:type="dxa"/>
            </w:tcMar>
            <w:vAlign w:val="center"/>
            <w:hideMark/>
          </w:tcPr>
          <w:p w14:paraId="05D4768D" w14:textId="77777777" w:rsidR="00440AC3" w:rsidRDefault="00440AC3" w:rsidP="00BC5638">
            <w:pPr>
              <w:spacing w:after="0"/>
              <w:rPr>
                <w:rFonts w:ascii="Calibri" w:hAnsi="Calibri"/>
              </w:rPr>
            </w:pPr>
            <w:r>
              <w:rPr>
                <w:rFonts w:ascii="Calibri" w:hAnsi="Calibri"/>
              </w:rPr>
              <w:t>Department of Wildlife Conservation</w:t>
            </w:r>
          </w:p>
        </w:tc>
        <w:tc>
          <w:tcPr>
            <w:tcW w:w="2430" w:type="dxa"/>
            <w:shd w:val="clear" w:color="auto" w:fill="auto"/>
            <w:vAlign w:val="center"/>
          </w:tcPr>
          <w:p w14:paraId="42D4AE34" w14:textId="77777777" w:rsidR="00440AC3" w:rsidRDefault="00440AC3" w:rsidP="00BC5638">
            <w:pPr>
              <w:spacing w:after="0"/>
              <w:rPr>
                <w:rFonts w:ascii="Calibri" w:hAnsi="Calibri"/>
              </w:rPr>
            </w:pPr>
            <w:r>
              <w:rPr>
                <w:rFonts w:ascii="Calibri" w:hAnsi="Calibri"/>
              </w:rPr>
              <w:t>Assistant Director - HRM</w:t>
            </w:r>
          </w:p>
        </w:tc>
      </w:tr>
      <w:tr w:rsidR="00440AC3" w14:paraId="293832AA" w14:textId="77777777" w:rsidTr="00BC5638">
        <w:trPr>
          <w:trHeight w:val="360"/>
        </w:trPr>
        <w:tc>
          <w:tcPr>
            <w:tcW w:w="713" w:type="dxa"/>
            <w:shd w:val="clear" w:color="auto" w:fill="auto"/>
            <w:noWrap/>
            <w:tcMar>
              <w:top w:w="0" w:type="dxa"/>
              <w:left w:w="108" w:type="dxa"/>
              <w:bottom w:w="0" w:type="dxa"/>
              <w:right w:w="108" w:type="dxa"/>
            </w:tcMar>
            <w:vAlign w:val="center"/>
          </w:tcPr>
          <w:p w14:paraId="50CF30FA" w14:textId="77777777" w:rsidR="00440AC3" w:rsidRDefault="00440AC3" w:rsidP="00BC5638">
            <w:pPr>
              <w:spacing w:after="0"/>
              <w:jc w:val="center"/>
              <w:rPr>
                <w:rFonts w:ascii="Calibri" w:hAnsi="Calibri"/>
              </w:rPr>
            </w:pPr>
            <w:r>
              <w:rPr>
                <w:rFonts w:ascii="Calibri" w:hAnsi="Calibri"/>
              </w:rPr>
              <w:t>13</w:t>
            </w:r>
          </w:p>
        </w:tc>
        <w:tc>
          <w:tcPr>
            <w:tcW w:w="2880" w:type="dxa"/>
            <w:shd w:val="clear" w:color="auto" w:fill="auto"/>
            <w:noWrap/>
            <w:tcMar>
              <w:top w:w="0" w:type="dxa"/>
              <w:left w:w="108" w:type="dxa"/>
              <w:bottom w:w="0" w:type="dxa"/>
              <w:right w:w="108" w:type="dxa"/>
            </w:tcMar>
            <w:vAlign w:val="center"/>
            <w:hideMark/>
          </w:tcPr>
          <w:p w14:paraId="3796C502" w14:textId="77777777" w:rsidR="00440AC3" w:rsidRDefault="00440AC3" w:rsidP="00BC5638">
            <w:pPr>
              <w:spacing w:after="0"/>
              <w:rPr>
                <w:rFonts w:ascii="Calibri" w:hAnsi="Calibri"/>
              </w:rPr>
            </w:pPr>
            <w:r>
              <w:rPr>
                <w:rFonts w:ascii="Calibri" w:hAnsi="Calibri"/>
              </w:rPr>
              <w:t>Tharuka Dissanayake</w:t>
            </w:r>
          </w:p>
        </w:tc>
        <w:tc>
          <w:tcPr>
            <w:tcW w:w="3330" w:type="dxa"/>
            <w:shd w:val="clear" w:color="auto" w:fill="auto"/>
            <w:noWrap/>
            <w:tcMar>
              <w:top w:w="0" w:type="dxa"/>
              <w:left w:w="108" w:type="dxa"/>
              <w:bottom w:w="0" w:type="dxa"/>
              <w:right w:w="108" w:type="dxa"/>
            </w:tcMar>
            <w:vAlign w:val="center"/>
            <w:hideMark/>
          </w:tcPr>
          <w:p w14:paraId="2E109D91" w14:textId="77777777" w:rsidR="00440AC3" w:rsidRDefault="00440AC3" w:rsidP="00BC5638">
            <w:pPr>
              <w:spacing w:after="0"/>
              <w:rPr>
                <w:rFonts w:ascii="Calibri" w:hAnsi="Calibri"/>
              </w:rPr>
            </w:pPr>
            <w:r>
              <w:rPr>
                <w:rFonts w:ascii="Calibri" w:hAnsi="Calibri"/>
              </w:rPr>
              <w:t>UNDP</w:t>
            </w:r>
          </w:p>
        </w:tc>
        <w:tc>
          <w:tcPr>
            <w:tcW w:w="2430" w:type="dxa"/>
            <w:shd w:val="clear" w:color="auto" w:fill="auto"/>
            <w:vAlign w:val="center"/>
          </w:tcPr>
          <w:p w14:paraId="4E799439" w14:textId="77777777" w:rsidR="00440AC3" w:rsidRDefault="00440AC3" w:rsidP="00BC5638">
            <w:pPr>
              <w:spacing w:after="0"/>
              <w:rPr>
                <w:rFonts w:ascii="Calibri" w:hAnsi="Calibri"/>
              </w:rPr>
            </w:pPr>
            <w:r>
              <w:rPr>
                <w:rFonts w:ascii="Calibri" w:hAnsi="Calibri"/>
              </w:rPr>
              <w:t>Policy and Design Specialist - Environment</w:t>
            </w:r>
          </w:p>
        </w:tc>
      </w:tr>
      <w:tr w:rsidR="00440AC3" w14:paraId="0D3596FD" w14:textId="77777777" w:rsidTr="00BC5638">
        <w:trPr>
          <w:trHeight w:val="360"/>
        </w:trPr>
        <w:tc>
          <w:tcPr>
            <w:tcW w:w="713" w:type="dxa"/>
            <w:shd w:val="clear" w:color="auto" w:fill="auto"/>
            <w:noWrap/>
            <w:tcMar>
              <w:top w:w="0" w:type="dxa"/>
              <w:left w:w="108" w:type="dxa"/>
              <w:bottom w:w="0" w:type="dxa"/>
              <w:right w:w="108" w:type="dxa"/>
            </w:tcMar>
            <w:vAlign w:val="center"/>
          </w:tcPr>
          <w:p w14:paraId="6BFC6312" w14:textId="77777777" w:rsidR="00440AC3" w:rsidRDefault="00440AC3" w:rsidP="00BC5638">
            <w:pPr>
              <w:spacing w:after="0"/>
              <w:jc w:val="center"/>
              <w:rPr>
                <w:rFonts w:ascii="Calibri" w:hAnsi="Calibri"/>
              </w:rPr>
            </w:pPr>
            <w:r>
              <w:rPr>
                <w:rFonts w:ascii="Calibri" w:hAnsi="Calibri"/>
              </w:rPr>
              <w:t>14</w:t>
            </w:r>
          </w:p>
        </w:tc>
        <w:tc>
          <w:tcPr>
            <w:tcW w:w="2880" w:type="dxa"/>
            <w:shd w:val="clear" w:color="auto" w:fill="auto"/>
            <w:noWrap/>
            <w:tcMar>
              <w:top w:w="0" w:type="dxa"/>
              <w:left w:w="108" w:type="dxa"/>
              <w:bottom w:w="0" w:type="dxa"/>
              <w:right w:w="108" w:type="dxa"/>
            </w:tcMar>
            <w:vAlign w:val="center"/>
            <w:hideMark/>
          </w:tcPr>
          <w:p w14:paraId="4C719609" w14:textId="77777777" w:rsidR="00440AC3" w:rsidRDefault="00440AC3" w:rsidP="00BC5638">
            <w:pPr>
              <w:spacing w:after="0"/>
              <w:rPr>
                <w:rFonts w:ascii="Calibri" w:hAnsi="Calibri"/>
              </w:rPr>
            </w:pPr>
            <w:r>
              <w:rPr>
                <w:rFonts w:ascii="Calibri" w:hAnsi="Calibri"/>
              </w:rPr>
              <w:t>M.S.A. Mubarak</w:t>
            </w:r>
          </w:p>
        </w:tc>
        <w:tc>
          <w:tcPr>
            <w:tcW w:w="3330" w:type="dxa"/>
            <w:shd w:val="clear" w:color="auto" w:fill="auto"/>
            <w:noWrap/>
            <w:tcMar>
              <w:top w:w="0" w:type="dxa"/>
              <w:left w:w="108" w:type="dxa"/>
              <w:bottom w:w="0" w:type="dxa"/>
              <w:right w:w="108" w:type="dxa"/>
            </w:tcMar>
            <w:vAlign w:val="center"/>
            <w:hideMark/>
          </w:tcPr>
          <w:p w14:paraId="3C95B1B5" w14:textId="77777777" w:rsidR="00440AC3" w:rsidRDefault="00440AC3" w:rsidP="00BC5638">
            <w:pPr>
              <w:spacing w:after="0"/>
              <w:rPr>
                <w:rFonts w:ascii="Calibri" w:hAnsi="Calibri"/>
              </w:rPr>
            </w:pPr>
            <w:r>
              <w:rPr>
                <w:rFonts w:ascii="Calibri" w:hAnsi="Calibri"/>
              </w:rPr>
              <w:t>National Planning Department</w:t>
            </w:r>
          </w:p>
        </w:tc>
        <w:tc>
          <w:tcPr>
            <w:tcW w:w="2430" w:type="dxa"/>
            <w:shd w:val="clear" w:color="auto" w:fill="auto"/>
            <w:vAlign w:val="center"/>
          </w:tcPr>
          <w:p w14:paraId="55CF4FCF" w14:textId="77777777" w:rsidR="00440AC3" w:rsidRDefault="00440AC3" w:rsidP="00BC5638">
            <w:pPr>
              <w:spacing w:after="0"/>
              <w:rPr>
                <w:rFonts w:ascii="Calibri" w:hAnsi="Calibri"/>
              </w:rPr>
            </w:pPr>
            <w:r>
              <w:rPr>
                <w:rFonts w:ascii="Calibri" w:hAnsi="Calibri"/>
              </w:rPr>
              <w:t>Director</w:t>
            </w:r>
          </w:p>
        </w:tc>
      </w:tr>
      <w:tr w:rsidR="00440AC3" w14:paraId="665CC016" w14:textId="77777777" w:rsidTr="00BC5638">
        <w:trPr>
          <w:trHeight w:val="360"/>
        </w:trPr>
        <w:tc>
          <w:tcPr>
            <w:tcW w:w="713" w:type="dxa"/>
            <w:shd w:val="clear" w:color="auto" w:fill="auto"/>
            <w:noWrap/>
            <w:tcMar>
              <w:top w:w="0" w:type="dxa"/>
              <w:left w:w="108" w:type="dxa"/>
              <w:bottom w:w="0" w:type="dxa"/>
              <w:right w:w="108" w:type="dxa"/>
            </w:tcMar>
            <w:vAlign w:val="center"/>
          </w:tcPr>
          <w:p w14:paraId="5BEE12C5" w14:textId="77777777" w:rsidR="00440AC3" w:rsidRDefault="00440AC3" w:rsidP="00BC5638">
            <w:pPr>
              <w:spacing w:after="0"/>
              <w:jc w:val="center"/>
              <w:rPr>
                <w:rFonts w:ascii="Calibri" w:hAnsi="Calibri"/>
              </w:rPr>
            </w:pPr>
            <w:r>
              <w:rPr>
                <w:rFonts w:ascii="Calibri" w:hAnsi="Calibri"/>
              </w:rPr>
              <w:t>15</w:t>
            </w:r>
          </w:p>
        </w:tc>
        <w:tc>
          <w:tcPr>
            <w:tcW w:w="2880" w:type="dxa"/>
            <w:shd w:val="clear" w:color="auto" w:fill="auto"/>
            <w:noWrap/>
            <w:tcMar>
              <w:top w:w="0" w:type="dxa"/>
              <w:left w:w="108" w:type="dxa"/>
              <w:bottom w:w="0" w:type="dxa"/>
              <w:right w:w="108" w:type="dxa"/>
            </w:tcMar>
            <w:vAlign w:val="center"/>
            <w:hideMark/>
          </w:tcPr>
          <w:p w14:paraId="5752E582" w14:textId="77777777" w:rsidR="00440AC3" w:rsidRDefault="00440AC3" w:rsidP="00BC5638">
            <w:pPr>
              <w:spacing w:after="0"/>
              <w:rPr>
                <w:rFonts w:ascii="Calibri" w:hAnsi="Calibri"/>
              </w:rPr>
            </w:pPr>
            <w:proofErr w:type="spellStart"/>
            <w:r>
              <w:rPr>
                <w:rFonts w:ascii="Calibri" w:hAnsi="Calibri"/>
              </w:rPr>
              <w:t>Ranga</w:t>
            </w:r>
            <w:proofErr w:type="spellEnd"/>
            <w:r>
              <w:rPr>
                <w:rFonts w:ascii="Calibri" w:hAnsi="Calibri"/>
              </w:rPr>
              <w:t xml:space="preserve"> </w:t>
            </w:r>
            <w:proofErr w:type="spellStart"/>
            <w:r>
              <w:rPr>
                <w:rFonts w:ascii="Calibri" w:hAnsi="Calibri"/>
              </w:rPr>
              <w:t>Pallawala</w:t>
            </w:r>
            <w:proofErr w:type="spellEnd"/>
          </w:p>
        </w:tc>
        <w:tc>
          <w:tcPr>
            <w:tcW w:w="3330" w:type="dxa"/>
            <w:shd w:val="clear" w:color="auto" w:fill="auto"/>
            <w:noWrap/>
            <w:tcMar>
              <w:top w:w="0" w:type="dxa"/>
              <w:left w:w="108" w:type="dxa"/>
              <w:bottom w:w="0" w:type="dxa"/>
              <w:right w:w="108" w:type="dxa"/>
            </w:tcMar>
            <w:vAlign w:val="center"/>
            <w:hideMark/>
          </w:tcPr>
          <w:p w14:paraId="223B932E" w14:textId="77777777" w:rsidR="00440AC3" w:rsidRDefault="00440AC3" w:rsidP="00BC5638">
            <w:pPr>
              <w:spacing w:after="0"/>
              <w:rPr>
                <w:rFonts w:ascii="Calibri" w:hAnsi="Calibri"/>
              </w:rPr>
            </w:pPr>
            <w:r>
              <w:rPr>
                <w:rFonts w:ascii="Calibri" w:hAnsi="Calibri"/>
              </w:rPr>
              <w:t>“</w:t>
            </w:r>
            <w:proofErr w:type="spellStart"/>
            <w:r>
              <w:rPr>
                <w:rFonts w:ascii="Calibri" w:hAnsi="Calibri"/>
              </w:rPr>
              <w:t>Janathakshana</w:t>
            </w:r>
            <w:proofErr w:type="spellEnd"/>
            <w:r>
              <w:rPr>
                <w:rFonts w:ascii="Calibri" w:hAnsi="Calibri"/>
              </w:rPr>
              <w:t>”</w:t>
            </w:r>
          </w:p>
        </w:tc>
        <w:tc>
          <w:tcPr>
            <w:tcW w:w="2430" w:type="dxa"/>
            <w:shd w:val="clear" w:color="auto" w:fill="auto"/>
            <w:vAlign w:val="center"/>
          </w:tcPr>
          <w:p w14:paraId="628A1537" w14:textId="77777777" w:rsidR="00440AC3" w:rsidRDefault="00440AC3" w:rsidP="00BC5638">
            <w:pPr>
              <w:spacing w:after="0"/>
              <w:rPr>
                <w:rFonts w:ascii="Calibri" w:hAnsi="Calibri"/>
              </w:rPr>
            </w:pPr>
            <w:r>
              <w:rPr>
                <w:rFonts w:ascii="Calibri" w:hAnsi="Calibri"/>
              </w:rPr>
              <w:t>Chief Executive Officer</w:t>
            </w:r>
          </w:p>
        </w:tc>
      </w:tr>
      <w:tr w:rsidR="00440AC3" w14:paraId="186B8138" w14:textId="77777777" w:rsidTr="00BC5638">
        <w:trPr>
          <w:trHeight w:val="360"/>
        </w:trPr>
        <w:tc>
          <w:tcPr>
            <w:tcW w:w="713" w:type="dxa"/>
            <w:shd w:val="clear" w:color="auto" w:fill="auto"/>
            <w:noWrap/>
            <w:tcMar>
              <w:top w:w="0" w:type="dxa"/>
              <w:left w:w="108" w:type="dxa"/>
              <w:bottom w:w="0" w:type="dxa"/>
              <w:right w:w="108" w:type="dxa"/>
            </w:tcMar>
            <w:vAlign w:val="center"/>
          </w:tcPr>
          <w:p w14:paraId="0F41F56B" w14:textId="77777777" w:rsidR="00440AC3" w:rsidRDefault="00440AC3" w:rsidP="00BC5638">
            <w:pPr>
              <w:spacing w:after="0"/>
              <w:jc w:val="center"/>
              <w:rPr>
                <w:rFonts w:ascii="Calibri" w:hAnsi="Calibri"/>
              </w:rPr>
            </w:pPr>
            <w:r>
              <w:rPr>
                <w:rFonts w:ascii="Calibri" w:hAnsi="Calibri"/>
              </w:rPr>
              <w:t>16</w:t>
            </w:r>
          </w:p>
        </w:tc>
        <w:tc>
          <w:tcPr>
            <w:tcW w:w="2880" w:type="dxa"/>
            <w:shd w:val="clear" w:color="auto" w:fill="auto"/>
            <w:noWrap/>
            <w:tcMar>
              <w:top w:w="0" w:type="dxa"/>
              <w:left w:w="108" w:type="dxa"/>
              <w:bottom w:w="0" w:type="dxa"/>
              <w:right w:w="108" w:type="dxa"/>
            </w:tcMar>
            <w:vAlign w:val="center"/>
            <w:hideMark/>
          </w:tcPr>
          <w:p w14:paraId="7070D326" w14:textId="77777777" w:rsidR="00440AC3" w:rsidRDefault="00440AC3" w:rsidP="00BC5638">
            <w:pPr>
              <w:spacing w:after="0"/>
              <w:rPr>
                <w:rFonts w:ascii="Calibri" w:hAnsi="Calibri"/>
              </w:rPr>
            </w:pPr>
            <w:proofErr w:type="spellStart"/>
            <w:r>
              <w:rPr>
                <w:rFonts w:ascii="Calibri" w:hAnsi="Calibri"/>
              </w:rPr>
              <w:t>Asanka</w:t>
            </w:r>
            <w:proofErr w:type="spellEnd"/>
            <w:r>
              <w:rPr>
                <w:rFonts w:ascii="Calibri" w:hAnsi="Calibri"/>
              </w:rPr>
              <w:t xml:space="preserve"> Abeykoon</w:t>
            </w:r>
          </w:p>
        </w:tc>
        <w:tc>
          <w:tcPr>
            <w:tcW w:w="3330" w:type="dxa"/>
            <w:shd w:val="clear" w:color="auto" w:fill="auto"/>
            <w:noWrap/>
            <w:tcMar>
              <w:top w:w="0" w:type="dxa"/>
              <w:left w:w="108" w:type="dxa"/>
              <w:bottom w:w="0" w:type="dxa"/>
              <w:right w:w="108" w:type="dxa"/>
            </w:tcMar>
            <w:vAlign w:val="center"/>
            <w:hideMark/>
          </w:tcPr>
          <w:p w14:paraId="33614B5F" w14:textId="77777777" w:rsidR="00440AC3" w:rsidRDefault="00440AC3" w:rsidP="00BC5638">
            <w:pPr>
              <w:spacing w:after="0"/>
              <w:rPr>
                <w:rFonts w:ascii="Calibri" w:hAnsi="Calibri"/>
              </w:rPr>
            </w:pPr>
            <w:proofErr w:type="spellStart"/>
            <w:r>
              <w:rPr>
                <w:rFonts w:ascii="Calibri" w:hAnsi="Calibri"/>
              </w:rPr>
              <w:t>Dilmah</w:t>
            </w:r>
            <w:proofErr w:type="spellEnd"/>
            <w:r>
              <w:rPr>
                <w:rFonts w:ascii="Calibri" w:hAnsi="Calibri"/>
              </w:rPr>
              <w:t xml:space="preserve"> Conservation</w:t>
            </w:r>
          </w:p>
        </w:tc>
        <w:tc>
          <w:tcPr>
            <w:tcW w:w="2430" w:type="dxa"/>
            <w:shd w:val="clear" w:color="auto" w:fill="auto"/>
            <w:vAlign w:val="center"/>
          </w:tcPr>
          <w:p w14:paraId="36954B03" w14:textId="77777777" w:rsidR="00440AC3" w:rsidRDefault="00440AC3" w:rsidP="00BC5638">
            <w:pPr>
              <w:spacing w:after="0"/>
              <w:rPr>
                <w:rFonts w:ascii="Calibri" w:hAnsi="Calibri"/>
              </w:rPr>
            </w:pPr>
            <w:r>
              <w:rPr>
                <w:rFonts w:ascii="Calibri" w:hAnsi="Calibri"/>
              </w:rPr>
              <w:t xml:space="preserve">Head of </w:t>
            </w:r>
            <w:proofErr w:type="spellStart"/>
            <w:r>
              <w:rPr>
                <w:rFonts w:ascii="Calibri" w:hAnsi="Calibri"/>
              </w:rPr>
              <w:t>Dilmah</w:t>
            </w:r>
            <w:proofErr w:type="spellEnd"/>
            <w:r>
              <w:rPr>
                <w:rFonts w:ascii="Calibri" w:hAnsi="Calibri"/>
              </w:rPr>
              <w:t xml:space="preserve"> Conservation</w:t>
            </w:r>
          </w:p>
        </w:tc>
      </w:tr>
      <w:tr w:rsidR="00440AC3" w14:paraId="68E0BCA6" w14:textId="77777777" w:rsidTr="00BC5638">
        <w:trPr>
          <w:trHeight w:val="360"/>
        </w:trPr>
        <w:tc>
          <w:tcPr>
            <w:tcW w:w="713" w:type="dxa"/>
            <w:tcBorders>
              <w:bottom w:val="single" w:sz="4" w:space="0" w:color="auto"/>
            </w:tcBorders>
            <w:shd w:val="clear" w:color="auto" w:fill="auto"/>
            <w:noWrap/>
            <w:tcMar>
              <w:top w:w="0" w:type="dxa"/>
              <w:left w:w="108" w:type="dxa"/>
              <w:bottom w:w="0" w:type="dxa"/>
              <w:right w:w="108" w:type="dxa"/>
            </w:tcMar>
            <w:vAlign w:val="center"/>
          </w:tcPr>
          <w:p w14:paraId="6F48EDA0" w14:textId="77777777" w:rsidR="00440AC3" w:rsidRDefault="00440AC3" w:rsidP="00BC5638">
            <w:pPr>
              <w:spacing w:after="0"/>
              <w:jc w:val="center"/>
              <w:rPr>
                <w:rFonts w:ascii="Calibri" w:hAnsi="Calibri"/>
              </w:rPr>
            </w:pPr>
            <w:r>
              <w:rPr>
                <w:rFonts w:ascii="Calibri" w:hAnsi="Calibri"/>
              </w:rPr>
              <w:t>16</w:t>
            </w:r>
          </w:p>
        </w:tc>
        <w:tc>
          <w:tcPr>
            <w:tcW w:w="2880" w:type="dxa"/>
            <w:tcBorders>
              <w:bottom w:val="single" w:sz="4" w:space="0" w:color="auto"/>
            </w:tcBorders>
            <w:shd w:val="clear" w:color="auto" w:fill="auto"/>
            <w:noWrap/>
            <w:tcMar>
              <w:top w:w="0" w:type="dxa"/>
              <w:left w:w="108" w:type="dxa"/>
              <w:bottom w:w="0" w:type="dxa"/>
              <w:right w:w="108" w:type="dxa"/>
            </w:tcMar>
            <w:vAlign w:val="center"/>
          </w:tcPr>
          <w:p w14:paraId="5BD0FA60" w14:textId="77777777" w:rsidR="00440AC3" w:rsidRDefault="00440AC3" w:rsidP="00BC5638">
            <w:pPr>
              <w:spacing w:after="0"/>
              <w:rPr>
                <w:rFonts w:ascii="Calibri" w:hAnsi="Calibri"/>
              </w:rPr>
            </w:pPr>
            <w:r>
              <w:rPr>
                <w:rFonts w:ascii="Calibri" w:hAnsi="Calibri"/>
              </w:rPr>
              <w:t>Ramitha Wijethunga</w:t>
            </w:r>
          </w:p>
        </w:tc>
        <w:tc>
          <w:tcPr>
            <w:tcW w:w="3330" w:type="dxa"/>
            <w:tcBorders>
              <w:bottom w:val="single" w:sz="4" w:space="0" w:color="auto"/>
            </w:tcBorders>
            <w:shd w:val="clear" w:color="auto" w:fill="auto"/>
            <w:noWrap/>
            <w:tcMar>
              <w:top w:w="0" w:type="dxa"/>
              <w:left w:w="108" w:type="dxa"/>
              <w:bottom w:w="0" w:type="dxa"/>
              <w:right w:w="108" w:type="dxa"/>
            </w:tcMar>
            <w:vAlign w:val="center"/>
          </w:tcPr>
          <w:p w14:paraId="7B221A66" w14:textId="77777777" w:rsidR="00440AC3" w:rsidRDefault="00440AC3" w:rsidP="00BC5638">
            <w:pPr>
              <w:spacing w:after="0"/>
              <w:rPr>
                <w:rFonts w:ascii="Calibri" w:hAnsi="Calibri"/>
              </w:rPr>
            </w:pPr>
            <w:r>
              <w:rPr>
                <w:rFonts w:ascii="Calibri" w:hAnsi="Calibri"/>
              </w:rPr>
              <w:t>National Project Coordinator</w:t>
            </w:r>
          </w:p>
        </w:tc>
        <w:tc>
          <w:tcPr>
            <w:tcW w:w="2430" w:type="dxa"/>
            <w:tcBorders>
              <w:bottom w:val="single" w:sz="4" w:space="0" w:color="auto"/>
            </w:tcBorders>
            <w:shd w:val="clear" w:color="auto" w:fill="auto"/>
            <w:vAlign w:val="center"/>
          </w:tcPr>
          <w:p w14:paraId="665BBFFA" w14:textId="77777777" w:rsidR="00440AC3" w:rsidRDefault="00440AC3" w:rsidP="00BC5638">
            <w:pPr>
              <w:spacing w:after="0"/>
              <w:rPr>
                <w:rFonts w:ascii="Calibri" w:hAnsi="Calibri"/>
              </w:rPr>
            </w:pPr>
            <w:r>
              <w:rPr>
                <w:rFonts w:ascii="Calibri" w:hAnsi="Calibri"/>
              </w:rPr>
              <w:t>UNDP - BIOFIN</w:t>
            </w:r>
          </w:p>
        </w:tc>
      </w:tr>
      <w:tr w:rsidR="00440AC3" w14:paraId="6F1FC14F" w14:textId="77777777" w:rsidTr="00BC5638">
        <w:trPr>
          <w:trHeight w:val="360"/>
        </w:trPr>
        <w:tc>
          <w:tcPr>
            <w:tcW w:w="713"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10B21C8D" w14:textId="77777777" w:rsidR="00440AC3" w:rsidRDefault="00440AC3" w:rsidP="00BC5638">
            <w:pPr>
              <w:spacing w:after="0"/>
              <w:jc w:val="center"/>
              <w:rPr>
                <w:rFonts w:ascii="Calibri" w:hAnsi="Calibri"/>
              </w:rPr>
            </w:pPr>
            <w:r>
              <w:rPr>
                <w:rFonts w:ascii="Calibri" w:hAnsi="Calibri"/>
              </w:rPr>
              <w:t>17</w:t>
            </w:r>
          </w:p>
        </w:tc>
        <w:tc>
          <w:tcPr>
            <w:tcW w:w="2880" w:type="dxa"/>
            <w:tcBorders>
              <w:top w:val="single" w:sz="4" w:space="0" w:color="auto"/>
              <w:bottom w:val="single" w:sz="4" w:space="0" w:color="auto"/>
            </w:tcBorders>
            <w:shd w:val="clear" w:color="auto" w:fill="auto"/>
            <w:noWrap/>
            <w:tcMar>
              <w:top w:w="0" w:type="dxa"/>
              <w:left w:w="108" w:type="dxa"/>
              <w:bottom w:w="0" w:type="dxa"/>
              <w:right w:w="108" w:type="dxa"/>
            </w:tcMar>
            <w:vAlign w:val="center"/>
            <w:hideMark/>
          </w:tcPr>
          <w:p w14:paraId="1BFE0473" w14:textId="77777777" w:rsidR="00440AC3" w:rsidRDefault="00440AC3" w:rsidP="00BC5638">
            <w:pPr>
              <w:spacing w:after="0"/>
              <w:rPr>
                <w:rFonts w:ascii="Calibri" w:hAnsi="Calibri"/>
              </w:rPr>
            </w:pPr>
            <w:proofErr w:type="spellStart"/>
            <w:r>
              <w:rPr>
                <w:rFonts w:ascii="Calibri" w:hAnsi="Calibri"/>
              </w:rPr>
              <w:t>Adeesha</w:t>
            </w:r>
            <w:proofErr w:type="spellEnd"/>
            <w:r>
              <w:rPr>
                <w:rFonts w:ascii="Calibri" w:hAnsi="Calibri"/>
              </w:rPr>
              <w:t xml:space="preserve"> Perera</w:t>
            </w:r>
          </w:p>
        </w:tc>
        <w:tc>
          <w:tcPr>
            <w:tcW w:w="3330" w:type="dxa"/>
            <w:tcBorders>
              <w:top w:val="single" w:sz="4" w:space="0" w:color="auto"/>
              <w:bottom w:val="single" w:sz="4" w:space="0" w:color="auto"/>
            </w:tcBorders>
            <w:shd w:val="clear" w:color="auto" w:fill="auto"/>
            <w:noWrap/>
            <w:tcMar>
              <w:top w:w="0" w:type="dxa"/>
              <w:left w:w="108" w:type="dxa"/>
              <w:bottom w:w="0" w:type="dxa"/>
              <w:right w:w="108" w:type="dxa"/>
            </w:tcMar>
            <w:vAlign w:val="center"/>
            <w:hideMark/>
          </w:tcPr>
          <w:p w14:paraId="7AFD5E3B" w14:textId="77777777" w:rsidR="00440AC3" w:rsidRDefault="00440AC3" w:rsidP="00BC5638">
            <w:pPr>
              <w:spacing w:after="0"/>
              <w:rPr>
                <w:rFonts w:ascii="Calibri" w:hAnsi="Calibri"/>
              </w:rPr>
            </w:pPr>
            <w:r>
              <w:rPr>
                <w:rFonts w:ascii="Calibri" w:hAnsi="Calibri"/>
              </w:rPr>
              <w:t>Nations Trust Bank</w:t>
            </w:r>
          </w:p>
        </w:tc>
        <w:tc>
          <w:tcPr>
            <w:tcW w:w="2430" w:type="dxa"/>
            <w:tcBorders>
              <w:top w:val="single" w:sz="4" w:space="0" w:color="auto"/>
              <w:bottom w:val="single" w:sz="4" w:space="0" w:color="auto"/>
            </w:tcBorders>
            <w:shd w:val="clear" w:color="auto" w:fill="auto"/>
            <w:vAlign w:val="center"/>
          </w:tcPr>
          <w:p w14:paraId="6514EEF3" w14:textId="77777777" w:rsidR="00440AC3" w:rsidRDefault="00440AC3" w:rsidP="00BC5638">
            <w:pPr>
              <w:spacing w:after="0"/>
              <w:rPr>
                <w:rFonts w:ascii="Calibri" w:hAnsi="Calibri"/>
              </w:rPr>
            </w:pPr>
            <w:r>
              <w:rPr>
                <w:rFonts w:ascii="Calibri" w:hAnsi="Calibri"/>
              </w:rPr>
              <w:t>Sustainability Manager</w:t>
            </w:r>
          </w:p>
        </w:tc>
      </w:tr>
    </w:tbl>
    <w:p w14:paraId="3047D628" w14:textId="77777777" w:rsidR="00440AC3" w:rsidRDefault="00440AC3" w:rsidP="00440AC3"/>
    <w:p w14:paraId="3B244DE8" w14:textId="5C6002AE" w:rsidR="00440AC3" w:rsidRDefault="00440AC3">
      <w:r>
        <w:br w:type="page"/>
      </w:r>
    </w:p>
    <w:p w14:paraId="0C516AA8" w14:textId="6D45F669" w:rsidR="00440AC3" w:rsidRPr="00EE74CF" w:rsidRDefault="00440AC3" w:rsidP="00440AC3">
      <w:pPr>
        <w:spacing w:after="240"/>
        <w:jc w:val="center"/>
        <w:rPr>
          <w:b/>
          <w:sz w:val="32"/>
        </w:rPr>
      </w:pPr>
      <w:r>
        <w:rPr>
          <w:b/>
          <w:sz w:val="32"/>
        </w:rPr>
        <w:t xml:space="preserve">II. </w:t>
      </w:r>
      <w:r w:rsidR="00003F22">
        <w:rPr>
          <w:b/>
          <w:sz w:val="32"/>
        </w:rPr>
        <w:t>Action Plan Workshop</w:t>
      </w:r>
      <w:r w:rsidRPr="00EE74CF">
        <w:rPr>
          <w:b/>
          <w:sz w:val="32"/>
        </w:rPr>
        <w:t>, BFP</w:t>
      </w:r>
    </w:p>
    <w:p w14:paraId="2A7569C7" w14:textId="77777777" w:rsidR="00440AC3" w:rsidRDefault="00440AC3" w:rsidP="00440AC3">
      <w:pPr>
        <w:spacing w:after="240"/>
        <w:jc w:val="center"/>
      </w:pPr>
      <w:r>
        <w:t xml:space="preserve">24 </w:t>
      </w:r>
      <w:proofErr w:type="gramStart"/>
      <w:r>
        <w:t>July,</w:t>
      </w:r>
      <w:proofErr w:type="gramEnd"/>
      <w:r>
        <w:t xml:space="preserve"> 2018 at Taj Samudra, Colombo</w:t>
      </w:r>
    </w:p>
    <w:p w14:paraId="7567BA5A" w14:textId="77777777" w:rsidR="00440AC3" w:rsidRDefault="00440AC3" w:rsidP="00440AC3"/>
    <w:p w14:paraId="2764FE57" w14:textId="77777777" w:rsidR="00440AC3" w:rsidRDefault="00440AC3" w:rsidP="00440AC3"/>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3"/>
        <w:gridCol w:w="2617"/>
        <w:gridCol w:w="2826"/>
        <w:gridCol w:w="2601"/>
      </w:tblGrid>
      <w:tr w:rsidR="00440AC3" w:rsidRPr="000A6273" w14:paraId="2029945A" w14:textId="77777777" w:rsidTr="00F36047">
        <w:trPr>
          <w:trHeight w:val="917"/>
        </w:trPr>
        <w:tc>
          <w:tcPr>
            <w:tcW w:w="983" w:type="dxa"/>
            <w:noWrap/>
            <w:vAlign w:val="center"/>
            <w:hideMark/>
          </w:tcPr>
          <w:p w14:paraId="687E1BF5" w14:textId="77777777" w:rsidR="00440AC3" w:rsidRPr="000A6273" w:rsidRDefault="00440AC3" w:rsidP="00BC5638">
            <w:pPr>
              <w:rPr>
                <w:b/>
                <w:bCs/>
              </w:rPr>
            </w:pPr>
            <w:r w:rsidRPr="000A6273">
              <w:rPr>
                <w:b/>
                <w:bCs/>
              </w:rPr>
              <w:t>No</w:t>
            </w:r>
          </w:p>
        </w:tc>
        <w:tc>
          <w:tcPr>
            <w:tcW w:w="2617" w:type="dxa"/>
            <w:noWrap/>
            <w:vAlign w:val="center"/>
            <w:hideMark/>
          </w:tcPr>
          <w:p w14:paraId="4903635D" w14:textId="77777777" w:rsidR="00440AC3" w:rsidRPr="000A6273" w:rsidRDefault="00440AC3" w:rsidP="00BC5638">
            <w:pPr>
              <w:rPr>
                <w:b/>
                <w:bCs/>
              </w:rPr>
            </w:pPr>
            <w:r w:rsidRPr="000A6273">
              <w:rPr>
                <w:b/>
                <w:bCs/>
              </w:rPr>
              <w:t>Name</w:t>
            </w:r>
          </w:p>
        </w:tc>
        <w:tc>
          <w:tcPr>
            <w:tcW w:w="2826" w:type="dxa"/>
            <w:noWrap/>
            <w:vAlign w:val="center"/>
            <w:hideMark/>
          </w:tcPr>
          <w:p w14:paraId="2207CD10" w14:textId="77777777" w:rsidR="00440AC3" w:rsidRPr="000A6273" w:rsidRDefault="00440AC3" w:rsidP="00BC5638">
            <w:pPr>
              <w:rPr>
                <w:b/>
                <w:bCs/>
              </w:rPr>
            </w:pPr>
            <w:r w:rsidRPr="000A6273">
              <w:rPr>
                <w:b/>
                <w:bCs/>
              </w:rPr>
              <w:t>Organization</w:t>
            </w:r>
          </w:p>
        </w:tc>
        <w:tc>
          <w:tcPr>
            <w:tcW w:w="2601" w:type="dxa"/>
            <w:noWrap/>
            <w:vAlign w:val="center"/>
            <w:hideMark/>
          </w:tcPr>
          <w:p w14:paraId="2052B655" w14:textId="77777777" w:rsidR="00440AC3" w:rsidRPr="000A6273" w:rsidRDefault="00440AC3" w:rsidP="00BC5638">
            <w:pPr>
              <w:rPr>
                <w:b/>
                <w:bCs/>
              </w:rPr>
            </w:pPr>
            <w:r w:rsidRPr="000A6273">
              <w:rPr>
                <w:b/>
                <w:bCs/>
              </w:rPr>
              <w:t>Designation</w:t>
            </w:r>
          </w:p>
        </w:tc>
      </w:tr>
      <w:tr w:rsidR="00440AC3" w:rsidRPr="000A6273" w14:paraId="1374E5A9" w14:textId="77777777" w:rsidTr="00F36047">
        <w:trPr>
          <w:trHeight w:val="710"/>
        </w:trPr>
        <w:tc>
          <w:tcPr>
            <w:tcW w:w="983" w:type="dxa"/>
            <w:noWrap/>
            <w:vAlign w:val="center"/>
            <w:hideMark/>
          </w:tcPr>
          <w:p w14:paraId="762D0062" w14:textId="77777777" w:rsidR="00440AC3" w:rsidRPr="000A6273" w:rsidRDefault="00440AC3" w:rsidP="00BC5638">
            <w:r w:rsidRPr="000A6273">
              <w:t>1</w:t>
            </w:r>
          </w:p>
        </w:tc>
        <w:tc>
          <w:tcPr>
            <w:tcW w:w="2617" w:type="dxa"/>
            <w:noWrap/>
            <w:vAlign w:val="center"/>
            <w:hideMark/>
          </w:tcPr>
          <w:p w14:paraId="37749894" w14:textId="77777777" w:rsidR="00440AC3" w:rsidRPr="000A6273" w:rsidRDefault="00440AC3" w:rsidP="00BC5638">
            <w:r w:rsidRPr="000A6273">
              <w:t>Gamini Senanayake</w:t>
            </w:r>
          </w:p>
        </w:tc>
        <w:tc>
          <w:tcPr>
            <w:tcW w:w="2826" w:type="dxa"/>
            <w:noWrap/>
            <w:vAlign w:val="center"/>
            <w:hideMark/>
          </w:tcPr>
          <w:p w14:paraId="0F0E2BAD" w14:textId="77777777" w:rsidR="00440AC3" w:rsidRPr="000A6273" w:rsidRDefault="00440AC3" w:rsidP="00BC5638">
            <w:r w:rsidRPr="000A6273">
              <w:t> </w:t>
            </w:r>
          </w:p>
        </w:tc>
        <w:tc>
          <w:tcPr>
            <w:tcW w:w="2601" w:type="dxa"/>
            <w:noWrap/>
            <w:vAlign w:val="center"/>
            <w:hideMark/>
          </w:tcPr>
          <w:p w14:paraId="2DAE5162" w14:textId="77777777" w:rsidR="00440AC3" w:rsidRPr="000A6273" w:rsidRDefault="00440AC3" w:rsidP="00BC5638">
            <w:r w:rsidRPr="00EE74CF">
              <w:t>Freelance</w:t>
            </w:r>
            <w:r w:rsidRPr="000A6273">
              <w:t> </w:t>
            </w:r>
            <w:r>
              <w:t>Consultant - Environment</w:t>
            </w:r>
          </w:p>
        </w:tc>
      </w:tr>
      <w:tr w:rsidR="00440AC3" w:rsidRPr="000A6273" w14:paraId="1DF28C94" w14:textId="77777777" w:rsidTr="00F36047">
        <w:trPr>
          <w:trHeight w:val="710"/>
        </w:trPr>
        <w:tc>
          <w:tcPr>
            <w:tcW w:w="983" w:type="dxa"/>
            <w:noWrap/>
            <w:vAlign w:val="center"/>
            <w:hideMark/>
          </w:tcPr>
          <w:p w14:paraId="069B3BB2" w14:textId="77777777" w:rsidR="00440AC3" w:rsidRPr="000A6273" w:rsidRDefault="00440AC3" w:rsidP="00BC5638">
            <w:r w:rsidRPr="000A6273">
              <w:t>2</w:t>
            </w:r>
          </w:p>
        </w:tc>
        <w:tc>
          <w:tcPr>
            <w:tcW w:w="2617" w:type="dxa"/>
            <w:noWrap/>
            <w:vAlign w:val="center"/>
            <w:hideMark/>
          </w:tcPr>
          <w:p w14:paraId="0C4DD117" w14:textId="77777777" w:rsidR="00440AC3" w:rsidRPr="000A6273" w:rsidRDefault="00440AC3" w:rsidP="00BC5638">
            <w:proofErr w:type="spellStart"/>
            <w:r w:rsidRPr="000A6273">
              <w:t>Lakmini</w:t>
            </w:r>
            <w:proofErr w:type="spellEnd"/>
            <w:r w:rsidRPr="000A6273">
              <w:t xml:space="preserve"> </w:t>
            </w:r>
            <w:proofErr w:type="spellStart"/>
            <w:r w:rsidRPr="000A6273">
              <w:t>Senadeera</w:t>
            </w:r>
            <w:proofErr w:type="spellEnd"/>
          </w:p>
        </w:tc>
        <w:tc>
          <w:tcPr>
            <w:tcW w:w="2826" w:type="dxa"/>
            <w:noWrap/>
            <w:vAlign w:val="center"/>
            <w:hideMark/>
          </w:tcPr>
          <w:p w14:paraId="205B2664" w14:textId="77777777" w:rsidR="00440AC3" w:rsidRPr="000A6273" w:rsidRDefault="00440AC3" w:rsidP="00BC5638">
            <w:r w:rsidRPr="000A6273">
              <w:t>Sustainable Future Group</w:t>
            </w:r>
          </w:p>
        </w:tc>
        <w:tc>
          <w:tcPr>
            <w:tcW w:w="2601" w:type="dxa"/>
            <w:noWrap/>
            <w:vAlign w:val="center"/>
            <w:hideMark/>
          </w:tcPr>
          <w:p w14:paraId="63DC854B" w14:textId="77777777" w:rsidR="00440AC3" w:rsidRPr="000A6273" w:rsidRDefault="00440AC3" w:rsidP="00BC5638">
            <w:r w:rsidRPr="000A6273">
              <w:t>Manager</w:t>
            </w:r>
          </w:p>
        </w:tc>
      </w:tr>
      <w:tr w:rsidR="00440AC3" w:rsidRPr="000A6273" w14:paraId="2AB3C0CF" w14:textId="77777777" w:rsidTr="00F36047">
        <w:trPr>
          <w:trHeight w:val="710"/>
        </w:trPr>
        <w:tc>
          <w:tcPr>
            <w:tcW w:w="983" w:type="dxa"/>
            <w:noWrap/>
            <w:vAlign w:val="center"/>
            <w:hideMark/>
          </w:tcPr>
          <w:p w14:paraId="7D07C6AE" w14:textId="77777777" w:rsidR="00440AC3" w:rsidRPr="000A6273" w:rsidRDefault="00440AC3" w:rsidP="00BC5638">
            <w:r w:rsidRPr="000A6273">
              <w:t>3</w:t>
            </w:r>
          </w:p>
        </w:tc>
        <w:tc>
          <w:tcPr>
            <w:tcW w:w="2617" w:type="dxa"/>
            <w:noWrap/>
            <w:vAlign w:val="center"/>
            <w:hideMark/>
          </w:tcPr>
          <w:p w14:paraId="2E5DF4E7" w14:textId="77777777" w:rsidR="00440AC3" w:rsidRPr="000A6273" w:rsidRDefault="00440AC3" w:rsidP="00BC5638">
            <w:r w:rsidRPr="000A6273">
              <w:t>Sahan Dissanayake</w:t>
            </w:r>
          </w:p>
        </w:tc>
        <w:tc>
          <w:tcPr>
            <w:tcW w:w="2826" w:type="dxa"/>
            <w:noWrap/>
            <w:vAlign w:val="center"/>
            <w:hideMark/>
          </w:tcPr>
          <w:p w14:paraId="658906C6" w14:textId="77777777" w:rsidR="00440AC3" w:rsidRPr="000A6273" w:rsidRDefault="00440AC3" w:rsidP="00BC5638">
            <w:r w:rsidRPr="000A6273">
              <w:t>Portland</w:t>
            </w:r>
            <w:r>
              <w:t xml:space="preserve"> State University</w:t>
            </w:r>
          </w:p>
        </w:tc>
        <w:tc>
          <w:tcPr>
            <w:tcW w:w="2601" w:type="dxa"/>
            <w:noWrap/>
            <w:vAlign w:val="center"/>
            <w:hideMark/>
          </w:tcPr>
          <w:p w14:paraId="54D5D75C" w14:textId="77777777" w:rsidR="00440AC3" w:rsidRPr="000A6273" w:rsidRDefault="00440AC3" w:rsidP="00BC5638">
            <w:r w:rsidRPr="000A6273">
              <w:t>Assistant Professor</w:t>
            </w:r>
            <w:r>
              <w:t>, Environmental Economics</w:t>
            </w:r>
          </w:p>
        </w:tc>
      </w:tr>
      <w:tr w:rsidR="00440AC3" w:rsidRPr="000A6273" w14:paraId="57A0EFAB" w14:textId="77777777" w:rsidTr="00F36047">
        <w:trPr>
          <w:trHeight w:val="710"/>
        </w:trPr>
        <w:tc>
          <w:tcPr>
            <w:tcW w:w="983" w:type="dxa"/>
            <w:noWrap/>
            <w:vAlign w:val="center"/>
            <w:hideMark/>
          </w:tcPr>
          <w:p w14:paraId="4CF89D9D" w14:textId="77777777" w:rsidR="00440AC3" w:rsidRPr="000A6273" w:rsidRDefault="00440AC3" w:rsidP="00BC5638">
            <w:r w:rsidRPr="000A6273">
              <w:t>4</w:t>
            </w:r>
          </w:p>
        </w:tc>
        <w:tc>
          <w:tcPr>
            <w:tcW w:w="2617" w:type="dxa"/>
            <w:noWrap/>
            <w:vAlign w:val="center"/>
            <w:hideMark/>
          </w:tcPr>
          <w:p w14:paraId="78C376C2" w14:textId="77777777" w:rsidR="00440AC3" w:rsidRPr="000A6273" w:rsidRDefault="00440AC3" w:rsidP="00BC5638">
            <w:r w:rsidRPr="000A6273">
              <w:t xml:space="preserve">Yashoda </w:t>
            </w:r>
            <w:proofErr w:type="spellStart"/>
            <w:r w:rsidRPr="000A6273">
              <w:t>Senadeera</w:t>
            </w:r>
            <w:proofErr w:type="spellEnd"/>
          </w:p>
        </w:tc>
        <w:tc>
          <w:tcPr>
            <w:tcW w:w="2826" w:type="dxa"/>
            <w:noWrap/>
            <w:vAlign w:val="center"/>
            <w:hideMark/>
          </w:tcPr>
          <w:p w14:paraId="7DAFF1CD" w14:textId="7CC9580A" w:rsidR="00440AC3" w:rsidRPr="000A6273" w:rsidRDefault="00440AC3" w:rsidP="00BC5638">
            <w:r>
              <w:t>Central Bank o</w:t>
            </w:r>
            <w:r w:rsidRPr="000A6273">
              <w:t xml:space="preserve">f Sri Lanka </w:t>
            </w:r>
          </w:p>
        </w:tc>
        <w:tc>
          <w:tcPr>
            <w:tcW w:w="2601" w:type="dxa"/>
            <w:noWrap/>
            <w:vAlign w:val="center"/>
            <w:hideMark/>
          </w:tcPr>
          <w:p w14:paraId="61DC3317" w14:textId="77777777" w:rsidR="00440AC3" w:rsidRPr="000A6273" w:rsidRDefault="00440AC3" w:rsidP="00BC5638">
            <w:r w:rsidRPr="000A6273">
              <w:t>Senior Economist</w:t>
            </w:r>
          </w:p>
        </w:tc>
      </w:tr>
      <w:tr w:rsidR="00440AC3" w:rsidRPr="000A6273" w14:paraId="4E1F82BE" w14:textId="77777777" w:rsidTr="00F36047">
        <w:trPr>
          <w:trHeight w:val="620"/>
        </w:trPr>
        <w:tc>
          <w:tcPr>
            <w:tcW w:w="983" w:type="dxa"/>
            <w:noWrap/>
            <w:vAlign w:val="center"/>
            <w:hideMark/>
          </w:tcPr>
          <w:p w14:paraId="541745B1" w14:textId="77777777" w:rsidR="00440AC3" w:rsidRPr="000A6273" w:rsidRDefault="00440AC3" w:rsidP="00BC5638">
            <w:r w:rsidRPr="000A6273">
              <w:t>5</w:t>
            </w:r>
          </w:p>
        </w:tc>
        <w:tc>
          <w:tcPr>
            <w:tcW w:w="2617" w:type="dxa"/>
            <w:noWrap/>
            <w:vAlign w:val="center"/>
            <w:hideMark/>
          </w:tcPr>
          <w:p w14:paraId="1BD97796" w14:textId="77777777" w:rsidR="00440AC3" w:rsidRPr="000A6273" w:rsidRDefault="00440AC3" w:rsidP="00BC5638">
            <w:r w:rsidRPr="000A6273">
              <w:t xml:space="preserve">Yohan </w:t>
            </w:r>
            <w:proofErr w:type="spellStart"/>
            <w:r w:rsidRPr="000A6273">
              <w:t>Samarathunge</w:t>
            </w:r>
            <w:proofErr w:type="spellEnd"/>
          </w:p>
        </w:tc>
        <w:tc>
          <w:tcPr>
            <w:tcW w:w="2826" w:type="dxa"/>
            <w:noWrap/>
            <w:vAlign w:val="center"/>
            <w:hideMark/>
          </w:tcPr>
          <w:p w14:paraId="00CD78A2" w14:textId="5D2B4C24" w:rsidR="00440AC3" w:rsidRPr="000A6273" w:rsidRDefault="00440AC3" w:rsidP="00BC5638">
            <w:r>
              <w:t>Central Bank o</w:t>
            </w:r>
            <w:r w:rsidRPr="000A6273">
              <w:t xml:space="preserve">f Sri Lanka </w:t>
            </w:r>
          </w:p>
        </w:tc>
        <w:tc>
          <w:tcPr>
            <w:tcW w:w="2601" w:type="dxa"/>
            <w:noWrap/>
            <w:vAlign w:val="center"/>
            <w:hideMark/>
          </w:tcPr>
          <w:p w14:paraId="659988BC" w14:textId="77777777" w:rsidR="00440AC3" w:rsidRPr="000A6273" w:rsidRDefault="00440AC3" w:rsidP="00BC5638">
            <w:r w:rsidRPr="000A6273">
              <w:t>Senior Manager</w:t>
            </w:r>
          </w:p>
        </w:tc>
      </w:tr>
      <w:tr w:rsidR="00440AC3" w:rsidRPr="000A6273" w14:paraId="401B3623" w14:textId="77777777" w:rsidTr="00F36047">
        <w:trPr>
          <w:trHeight w:val="710"/>
        </w:trPr>
        <w:tc>
          <w:tcPr>
            <w:tcW w:w="983" w:type="dxa"/>
            <w:noWrap/>
            <w:vAlign w:val="center"/>
            <w:hideMark/>
          </w:tcPr>
          <w:p w14:paraId="29E78E4A" w14:textId="77777777" w:rsidR="00440AC3" w:rsidRPr="000A6273" w:rsidRDefault="00440AC3" w:rsidP="00BC5638">
            <w:r w:rsidRPr="000A6273">
              <w:t>6</w:t>
            </w:r>
          </w:p>
        </w:tc>
        <w:tc>
          <w:tcPr>
            <w:tcW w:w="2617" w:type="dxa"/>
            <w:noWrap/>
            <w:vAlign w:val="center"/>
            <w:hideMark/>
          </w:tcPr>
          <w:p w14:paraId="334A6980" w14:textId="77777777" w:rsidR="00440AC3" w:rsidRPr="000A6273" w:rsidRDefault="00440AC3" w:rsidP="00BC5638">
            <w:r w:rsidRPr="000A6273">
              <w:t xml:space="preserve">Rajeeka </w:t>
            </w:r>
            <w:proofErr w:type="spellStart"/>
            <w:r w:rsidRPr="000A6273">
              <w:t>Ranathunge</w:t>
            </w:r>
            <w:proofErr w:type="spellEnd"/>
          </w:p>
        </w:tc>
        <w:tc>
          <w:tcPr>
            <w:tcW w:w="2826" w:type="dxa"/>
            <w:noWrap/>
            <w:vAlign w:val="center"/>
            <w:hideMark/>
          </w:tcPr>
          <w:p w14:paraId="48BE2B51" w14:textId="77777777" w:rsidR="00440AC3" w:rsidRPr="000A6273" w:rsidRDefault="00440AC3" w:rsidP="00BC5638">
            <w:r w:rsidRPr="000A6273">
              <w:t>SLTDA</w:t>
            </w:r>
          </w:p>
        </w:tc>
        <w:tc>
          <w:tcPr>
            <w:tcW w:w="2601" w:type="dxa"/>
            <w:noWrap/>
            <w:vAlign w:val="center"/>
            <w:hideMark/>
          </w:tcPr>
          <w:p w14:paraId="429097C5" w14:textId="77777777" w:rsidR="00440AC3" w:rsidRPr="000A6273" w:rsidRDefault="00440AC3" w:rsidP="00BC5638">
            <w:r w:rsidRPr="000A6273">
              <w:t>Assistant Director</w:t>
            </w:r>
          </w:p>
        </w:tc>
      </w:tr>
      <w:tr w:rsidR="00440AC3" w:rsidRPr="000A6273" w14:paraId="3160819F" w14:textId="77777777" w:rsidTr="00F36047">
        <w:trPr>
          <w:trHeight w:val="620"/>
        </w:trPr>
        <w:tc>
          <w:tcPr>
            <w:tcW w:w="983" w:type="dxa"/>
            <w:noWrap/>
            <w:vAlign w:val="center"/>
            <w:hideMark/>
          </w:tcPr>
          <w:p w14:paraId="6EF8A0D2" w14:textId="77777777" w:rsidR="00440AC3" w:rsidRPr="000A6273" w:rsidRDefault="00440AC3" w:rsidP="00BC5638">
            <w:r w:rsidRPr="000A6273">
              <w:t>7</w:t>
            </w:r>
          </w:p>
        </w:tc>
        <w:tc>
          <w:tcPr>
            <w:tcW w:w="2617" w:type="dxa"/>
            <w:noWrap/>
            <w:vAlign w:val="center"/>
            <w:hideMark/>
          </w:tcPr>
          <w:p w14:paraId="533E9CC3" w14:textId="77777777" w:rsidR="00440AC3" w:rsidRPr="000A6273" w:rsidRDefault="00440AC3" w:rsidP="00BC5638">
            <w:r w:rsidRPr="000A6273">
              <w:t>Dinushka Peiris</w:t>
            </w:r>
          </w:p>
        </w:tc>
        <w:tc>
          <w:tcPr>
            <w:tcW w:w="2826" w:type="dxa"/>
            <w:noWrap/>
            <w:vAlign w:val="center"/>
            <w:hideMark/>
          </w:tcPr>
          <w:p w14:paraId="2410C413" w14:textId="77777777" w:rsidR="00440AC3" w:rsidRPr="000A6273" w:rsidRDefault="00440AC3" w:rsidP="00BC5638">
            <w:r w:rsidRPr="000A6273">
              <w:t>SLTDA</w:t>
            </w:r>
          </w:p>
        </w:tc>
        <w:tc>
          <w:tcPr>
            <w:tcW w:w="2601" w:type="dxa"/>
            <w:noWrap/>
            <w:vAlign w:val="center"/>
            <w:hideMark/>
          </w:tcPr>
          <w:p w14:paraId="323EE193" w14:textId="77777777" w:rsidR="00440AC3" w:rsidRPr="000A6273" w:rsidRDefault="00440AC3" w:rsidP="00BC5638">
            <w:r w:rsidRPr="000A6273">
              <w:t>Assistant Director</w:t>
            </w:r>
          </w:p>
        </w:tc>
      </w:tr>
      <w:tr w:rsidR="00440AC3" w:rsidRPr="000A6273" w14:paraId="4B902624" w14:textId="77777777" w:rsidTr="00F36047">
        <w:trPr>
          <w:trHeight w:val="620"/>
        </w:trPr>
        <w:tc>
          <w:tcPr>
            <w:tcW w:w="983" w:type="dxa"/>
            <w:noWrap/>
            <w:vAlign w:val="center"/>
          </w:tcPr>
          <w:p w14:paraId="5E597399" w14:textId="77777777" w:rsidR="00440AC3" w:rsidRPr="000A6273" w:rsidRDefault="00440AC3" w:rsidP="00BC5638">
            <w:r>
              <w:t>8</w:t>
            </w:r>
          </w:p>
        </w:tc>
        <w:tc>
          <w:tcPr>
            <w:tcW w:w="2617" w:type="dxa"/>
            <w:shd w:val="clear" w:color="auto" w:fill="auto"/>
            <w:noWrap/>
            <w:vAlign w:val="center"/>
          </w:tcPr>
          <w:p w14:paraId="28B48F52" w14:textId="77777777" w:rsidR="00440AC3" w:rsidRDefault="00440AC3" w:rsidP="00BC5638">
            <w:r>
              <w:t>Ramitha Wijethunga</w:t>
            </w:r>
          </w:p>
        </w:tc>
        <w:tc>
          <w:tcPr>
            <w:tcW w:w="2826" w:type="dxa"/>
            <w:shd w:val="clear" w:color="auto" w:fill="auto"/>
            <w:noWrap/>
            <w:vAlign w:val="center"/>
          </w:tcPr>
          <w:p w14:paraId="31EB155B" w14:textId="77777777" w:rsidR="00440AC3" w:rsidRDefault="00440AC3" w:rsidP="00BC5638">
            <w:r>
              <w:t>National Project Coordinator</w:t>
            </w:r>
          </w:p>
        </w:tc>
        <w:tc>
          <w:tcPr>
            <w:tcW w:w="2601" w:type="dxa"/>
            <w:shd w:val="clear" w:color="auto" w:fill="auto"/>
            <w:noWrap/>
            <w:vAlign w:val="center"/>
          </w:tcPr>
          <w:p w14:paraId="229F125C" w14:textId="77777777" w:rsidR="00440AC3" w:rsidRDefault="00440AC3" w:rsidP="00BC5638">
            <w:r>
              <w:t>UNDP - BIOFIN</w:t>
            </w:r>
          </w:p>
        </w:tc>
      </w:tr>
      <w:tr w:rsidR="00440AC3" w:rsidRPr="000A6273" w14:paraId="73623598" w14:textId="77777777" w:rsidTr="00F36047">
        <w:trPr>
          <w:trHeight w:val="800"/>
        </w:trPr>
        <w:tc>
          <w:tcPr>
            <w:tcW w:w="983" w:type="dxa"/>
            <w:noWrap/>
            <w:vAlign w:val="center"/>
          </w:tcPr>
          <w:p w14:paraId="7414214B" w14:textId="77777777" w:rsidR="00440AC3" w:rsidRPr="000A6273" w:rsidRDefault="00440AC3" w:rsidP="00BC5638">
            <w:r>
              <w:t>9</w:t>
            </w:r>
          </w:p>
        </w:tc>
        <w:tc>
          <w:tcPr>
            <w:tcW w:w="2617" w:type="dxa"/>
            <w:noWrap/>
            <w:vAlign w:val="center"/>
          </w:tcPr>
          <w:p w14:paraId="434E41DE" w14:textId="77777777" w:rsidR="00440AC3" w:rsidRPr="00BF4A20" w:rsidRDefault="00440AC3" w:rsidP="00BC5638">
            <w:r w:rsidRPr="00BF4A20">
              <w:t>Sirimal Abeyratne</w:t>
            </w:r>
          </w:p>
        </w:tc>
        <w:tc>
          <w:tcPr>
            <w:tcW w:w="2826" w:type="dxa"/>
            <w:noWrap/>
            <w:vAlign w:val="center"/>
          </w:tcPr>
          <w:p w14:paraId="2C41B2CC" w14:textId="77777777" w:rsidR="00440AC3" w:rsidRPr="00BF4A20" w:rsidRDefault="00440AC3" w:rsidP="00BC5638">
            <w:r w:rsidRPr="00BF4A20">
              <w:t>University of Colombo</w:t>
            </w:r>
          </w:p>
        </w:tc>
        <w:tc>
          <w:tcPr>
            <w:tcW w:w="2601" w:type="dxa"/>
            <w:noWrap/>
            <w:vAlign w:val="center"/>
          </w:tcPr>
          <w:p w14:paraId="6F750B15" w14:textId="77777777" w:rsidR="00440AC3" w:rsidRDefault="00440AC3" w:rsidP="00BC5638">
            <w:r w:rsidRPr="00BF4A20">
              <w:t>Professor in Economics,</w:t>
            </w:r>
          </w:p>
          <w:p w14:paraId="78370FB3" w14:textId="77777777" w:rsidR="00440AC3" w:rsidRPr="00BF4A20" w:rsidRDefault="00440AC3" w:rsidP="00BC5638">
            <w:r>
              <w:t>Team Leader - BIOFIN</w:t>
            </w:r>
          </w:p>
        </w:tc>
      </w:tr>
    </w:tbl>
    <w:p w14:paraId="19AEF3E5" w14:textId="77777777" w:rsidR="00440AC3" w:rsidRDefault="00440AC3" w:rsidP="00440AC3"/>
    <w:p w14:paraId="754FCF9F" w14:textId="11DD0A7D" w:rsidR="00003F22" w:rsidRDefault="00003F22">
      <w:r>
        <w:br w:type="page"/>
      </w:r>
    </w:p>
    <w:p w14:paraId="67E81D79" w14:textId="310022DB" w:rsidR="00003F22" w:rsidRDefault="00003F22" w:rsidP="00003F22">
      <w:pPr>
        <w:spacing w:after="240"/>
        <w:jc w:val="center"/>
        <w:rPr>
          <w:b/>
          <w:sz w:val="32"/>
        </w:rPr>
      </w:pPr>
      <w:r w:rsidRPr="00003F22">
        <w:rPr>
          <w:b/>
          <w:sz w:val="32"/>
        </w:rPr>
        <w:t>I</w:t>
      </w:r>
      <w:r w:rsidR="00F36047">
        <w:rPr>
          <w:b/>
          <w:sz w:val="32"/>
        </w:rPr>
        <w:t>II</w:t>
      </w:r>
      <w:r w:rsidRPr="00003F22">
        <w:rPr>
          <w:b/>
          <w:sz w:val="32"/>
        </w:rPr>
        <w:t>. Seminars and Workshops in the BIOFIN Process</w:t>
      </w:r>
    </w:p>
    <w:p w14:paraId="0E9F1DF5" w14:textId="77777777" w:rsidR="00003F22" w:rsidRPr="00003F22" w:rsidRDefault="00003F22" w:rsidP="00003F22"/>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5"/>
        <w:gridCol w:w="3780"/>
        <w:gridCol w:w="1625"/>
        <w:gridCol w:w="3077"/>
      </w:tblGrid>
      <w:tr w:rsidR="00003F22" w:rsidRPr="00003F22" w14:paraId="6A2587D1" w14:textId="77777777" w:rsidTr="0020239D">
        <w:trPr>
          <w:trHeight w:val="683"/>
        </w:trPr>
        <w:tc>
          <w:tcPr>
            <w:tcW w:w="535" w:type="dxa"/>
            <w:tcBorders>
              <w:top w:val="single" w:sz="4" w:space="0" w:color="auto"/>
              <w:bottom w:val="single" w:sz="4" w:space="0" w:color="auto"/>
            </w:tcBorders>
            <w:vAlign w:val="center"/>
          </w:tcPr>
          <w:p w14:paraId="1C003371" w14:textId="77777777" w:rsidR="00003F22" w:rsidRPr="00003F22" w:rsidRDefault="00003F22" w:rsidP="00003F22">
            <w:pPr>
              <w:jc w:val="center"/>
              <w:rPr>
                <w:b/>
              </w:rPr>
            </w:pPr>
          </w:p>
        </w:tc>
        <w:tc>
          <w:tcPr>
            <w:tcW w:w="3780" w:type="dxa"/>
            <w:tcBorders>
              <w:top w:val="single" w:sz="4" w:space="0" w:color="auto"/>
              <w:bottom w:val="single" w:sz="4" w:space="0" w:color="auto"/>
            </w:tcBorders>
            <w:vAlign w:val="center"/>
          </w:tcPr>
          <w:p w14:paraId="4EC2385D" w14:textId="77777777" w:rsidR="00003F22" w:rsidRPr="00003F22" w:rsidRDefault="00003F22" w:rsidP="006B7C62">
            <w:pPr>
              <w:rPr>
                <w:b/>
              </w:rPr>
            </w:pPr>
            <w:r w:rsidRPr="00003F22">
              <w:rPr>
                <w:b/>
              </w:rPr>
              <w:t>Title</w:t>
            </w:r>
          </w:p>
        </w:tc>
        <w:tc>
          <w:tcPr>
            <w:tcW w:w="1625" w:type="dxa"/>
            <w:tcBorders>
              <w:top w:val="single" w:sz="4" w:space="0" w:color="auto"/>
              <w:bottom w:val="single" w:sz="4" w:space="0" w:color="auto"/>
            </w:tcBorders>
            <w:vAlign w:val="center"/>
          </w:tcPr>
          <w:p w14:paraId="0BF92F1D" w14:textId="77777777" w:rsidR="00003F22" w:rsidRPr="00003F22" w:rsidRDefault="00003F22" w:rsidP="006B7C62">
            <w:pPr>
              <w:rPr>
                <w:b/>
              </w:rPr>
            </w:pPr>
            <w:r w:rsidRPr="00003F22">
              <w:rPr>
                <w:b/>
              </w:rPr>
              <w:t>Dates</w:t>
            </w:r>
          </w:p>
        </w:tc>
        <w:tc>
          <w:tcPr>
            <w:tcW w:w="3077" w:type="dxa"/>
            <w:tcBorders>
              <w:top w:val="single" w:sz="4" w:space="0" w:color="auto"/>
              <w:bottom w:val="single" w:sz="4" w:space="0" w:color="auto"/>
            </w:tcBorders>
            <w:vAlign w:val="center"/>
          </w:tcPr>
          <w:p w14:paraId="71913184" w14:textId="77777777" w:rsidR="00003F22" w:rsidRPr="00003F22" w:rsidRDefault="00003F22" w:rsidP="006B7C62">
            <w:pPr>
              <w:rPr>
                <w:b/>
              </w:rPr>
            </w:pPr>
            <w:r w:rsidRPr="00003F22">
              <w:rPr>
                <w:b/>
              </w:rPr>
              <w:t>Place</w:t>
            </w:r>
          </w:p>
        </w:tc>
      </w:tr>
      <w:tr w:rsidR="00003F22" w14:paraId="7466BD0E" w14:textId="77777777" w:rsidTr="0020239D">
        <w:trPr>
          <w:trHeight w:val="864"/>
        </w:trPr>
        <w:tc>
          <w:tcPr>
            <w:tcW w:w="535" w:type="dxa"/>
            <w:tcBorders>
              <w:top w:val="single" w:sz="4" w:space="0" w:color="auto"/>
            </w:tcBorders>
            <w:vAlign w:val="center"/>
          </w:tcPr>
          <w:p w14:paraId="3CD8484C" w14:textId="77777777" w:rsidR="00003F22" w:rsidRDefault="00003F22" w:rsidP="00003F22">
            <w:pPr>
              <w:jc w:val="center"/>
            </w:pPr>
            <w:r>
              <w:t>1</w:t>
            </w:r>
          </w:p>
        </w:tc>
        <w:tc>
          <w:tcPr>
            <w:tcW w:w="3780" w:type="dxa"/>
            <w:tcBorders>
              <w:top w:val="single" w:sz="4" w:space="0" w:color="auto"/>
            </w:tcBorders>
            <w:vAlign w:val="center"/>
          </w:tcPr>
          <w:p w14:paraId="505A709D" w14:textId="77777777" w:rsidR="00003F22" w:rsidRDefault="00003F22" w:rsidP="006B7C62">
            <w:r w:rsidRPr="00E4384B">
              <w:t>BIOFIN INCEPTION WORKSHOP</w:t>
            </w:r>
          </w:p>
        </w:tc>
        <w:tc>
          <w:tcPr>
            <w:tcW w:w="1625" w:type="dxa"/>
            <w:tcBorders>
              <w:top w:val="single" w:sz="4" w:space="0" w:color="auto"/>
            </w:tcBorders>
            <w:vAlign w:val="center"/>
          </w:tcPr>
          <w:p w14:paraId="4F4E33EC" w14:textId="77777777" w:rsidR="00003F22" w:rsidRDefault="00003F22" w:rsidP="006B7C62">
            <w:r>
              <w:t>3-4 November</w:t>
            </w:r>
          </w:p>
          <w:p w14:paraId="389F0B2E" w14:textId="310BDD02" w:rsidR="00003F22" w:rsidRDefault="00003F22" w:rsidP="006B7C62">
            <w:r>
              <w:t>2016</w:t>
            </w:r>
          </w:p>
        </w:tc>
        <w:tc>
          <w:tcPr>
            <w:tcW w:w="3077" w:type="dxa"/>
            <w:tcBorders>
              <w:top w:val="single" w:sz="4" w:space="0" w:color="auto"/>
            </w:tcBorders>
            <w:vAlign w:val="center"/>
          </w:tcPr>
          <w:p w14:paraId="487CBCE0" w14:textId="77777777" w:rsidR="00003F22" w:rsidRDefault="00003F22" w:rsidP="006B7C62">
            <w:r>
              <w:t>Taj Samudra, Colombo</w:t>
            </w:r>
          </w:p>
        </w:tc>
      </w:tr>
      <w:tr w:rsidR="00003F22" w14:paraId="1C901972" w14:textId="77777777" w:rsidTr="0020239D">
        <w:trPr>
          <w:trHeight w:val="864"/>
        </w:trPr>
        <w:tc>
          <w:tcPr>
            <w:tcW w:w="535" w:type="dxa"/>
            <w:vAlign w:val="center"/>
          </w:tcPr>
          <w:p w14:paraId="246FC091" w14:textId="77777777" w:rsidR="00003F22" w:rsidRDefault="00003F22" w:rsidP="00003F22">
            <w:pPr>
              <w:jc w:val="center"/>
            </w:pPr>
            <w:r>
              <w:t>2</w:t>
            </w:r>
          </w:p>
        </w:tc>
        <w:tc>
          <w:tcPr>
            <w:tcW w:w="3780" w:type="dxa"/>
            <w:vAlign w:val="center"/>
          </w:tcPr>
          <w:p w14:paraId="6E3B4587" w14:textId="77777777" w:rsidR="00003F22" w:rsidRPr="00624CB6" w:rsidRDefault="00003F22" w:rsidP="006B7C62">
            <w:pPr>
              <w:rPr>
                <w:caps/>
              </w:rPr>
            </w:pPr>
            <w:r w:rsidRPr="00624CB6">
              <w:rPr>
                <w:caps/>
              </w:rPr>
              <w:t>Stake Holder Consultation Meeting</w:t>
            </w:r>
          </w:p>
        </w:tc>
        <w:tc>
          <w:tcPr>
            <w:tcW w:w="1625" w:type="dxa"/>
            <w:vAlign w:val="center"/>
          </w:tcPr>
          <w:p w14:paraId="2F2A538B" w14:textId="77777777" w:rsidR="00003F22" w:rsidRDefault="00003F22" w:rsidP="006B7C62">
            <w:r>
              <w:t xml:space="preserve">8 September </w:t>
            </w:r>
          </w:p>
          <w:p w14:paraId="72E7377D" w14:textId="05D3CFB8" w:rsidR="00003F22" w:rsidRDefault="00003F22" w:rsidP="006B7C62">
            <w:r>
              <w:t>2017</w:t>
            </w:r>
          </w:p>
        </w:tc>
        <w:tc>
          <w:tcPr>
            <w:tcW w:w="3077" w:type="dxa"/>
            <w:vAlign w:val="center"/>
          </w:tcPr>
          <w:p w14:paraId="2B48A289" w14:textId="77777777" w:rsidR="00003F22" w:rsidRDefault="00003F22" w:rsidP="006B7C62">
            <w:r>
              <w:t>Taj Samudra, Colombo</w:t>
            </w:r>
          </w:p>
        </w:tc>
      </w:tr>
      <w:tr w:rsidR="00003F22" w14:paraId="648A8716" w14:textId="77777777" w:rsidTr="0020239D">
        <w:trPr>
          <w:trHeight w:val="864"/>
        </w:trPr>
        <w:tc>
          <w:tcPr>
            <w:tcW w:w="535" w:type="dxa"/>
            <w:vAlign w:val="center"/>
          </w:tcPr>
          <w:p w14:paraId="5F2CDC51" w14:textId="77777777" w:rsidR="00003F22" w:rsidRDefault="00003F22" w:rsidP="00003F22">
            <w:pPr>
              <w:jc w:val="center"/>
            </w:pPr>
            <w:r>
              <w:t>3</w:t>
            </w:r>
          </w:p>
        </w:tc>
        <w:tc>
          <w:tcPr>
            <w:tcW w:w="3780" w:type="dxa"/>
            <w:vAlign w:val="center"/>
          </w:tcPr>
          <w:p w14:paraId="570CE837" w14:textId="77777777" w:rsidR="00003F22" w:rsidRPr="00624CB6" w:rsidRDefault="00003F22" w:rsidP="006B7C62">
            <w:pPr>
              <w:rPr>
                <w:caps/>
                <w:color w:val="FF0000"/>
              </w:rPr>
            </w:pPr>
            <w:r w:rsidRPr="00624CB6">
              <w:rPr>
                <w:caps/>
              </w:rPr>
              <w:t>Round Table Discussion on Policy and Institutional Review</w:t>
            </w:r>
          </w:p>
        </w:tc>
        <w:tc>
          <w:tcPr>
            <w:tcW w:w="1625" w:type="dxa"/>
            <w:vAlign w:val="center"/>
          </w:tcPr>
          <w:p w14:paraId="29D47F9D" w14:textId="77777777" w:rsidR="00003F22" w:rsidRDefault="00003F22" w:rsidP="006B7C62">
            <w:r>
              <w:t xml:space="preserve">23 October </w:t>
            </w:r>
          </w:p>
          <w:p w14:paraId="25356930" w14:textId="58308599" w:rsidR="00003F22" w:rsidRDefault="00003F22" w:rsidP="006B7C62">
            <w:r>
              <w:t>2017</w:t>
            </w:r>
          </w:p>
        </w:tc>
        <w:tc>
          <w:tcPr>
            <w:tcW w:w="3077" w:type="dxa"/>
            <w:vAlign w:val="center"/>
          </w:tcPr>
          <w:p w14:paraId="0D111CCC" w14:textId="7755D718" w:rsidR="00003F22" w:rsidRDefault="00003F22" w:rsidP="00003F22">
            <w:r>
              <w:t>Ministry of Mahaweli Development and Environment</w:t>
            </w:r>
          </w:p>
        </w:tc>
      </w:tr>
      <w:tr w:rsidR="00003F22" w14:paraId="118A4706" w14:textId="77777777" w:rsidTr="0020239D">
        <w:trPr>
          <w:trHeight w:val="864"/>
        </w:trPr>
        <w:tc>
          <w:tcPr>
            <w:tcW w:w="535" w:type="dxa"/>
            <w:vAlign w:val="center"/>
          </w:tcPr>
          <w:p w14:paraId="316D540C" w14:textId="77777777" w:rsidR="00003F22" w:rsidRDefault="00003F22" w:rsidP="00003F22">
            <w:pPr>
              <w:jc w:val="center"/>
            </w:pPr>
            <w:r>
              <w:t>4</w:t>
            </w:r>
          </w:p>
        </w:tc>
        <w:tc>
          <w:tcPr>
            <w:tcW w:w="3780" w:type="dxa"/>
            <w:vAlign w:val="center"/>
          </w:tcPr>
          <w:p w14:paraId="4A3E3044" w14:textId="77777777" w:rsidR="00003F22" w:rsidRDefault="00003F22" w:rsidP="006B7C62">
            <w:r>
              <w:t>VALIDATION WORKSHOP – POLICY AND INSTITUTIONAL REVIEW</w:t>
            </w:r>
          </w:p>
        </w:tc>
        <w:tc>
          <w:tcPr>
            <w:tcW w:w="1625" w:type="dxa"/>
            <w:vAlign w:val="center"/>
          </w:tcPr>
          <w:p w14:paraId="58821712" w14:textId="77777777" w:rsidR="00003F22" w:rsidRDefault="00003F22" w:rsidP="006B7C62">
            <w:r>
              <w:t xml:space="preserve">24 October </w:t>
            </w:r>
          </w:p>
          <w:p w14:paraId="4ECE8DB9" w14:textId="11BBFB3D" w:rsidR="00003F22" w:rsidRDefault="00003F22" w:rsidP="006B7C62">
            <w:r>
              <w:t>2017</w:t>
            </w:r>
          </w:p>
        </w:tc>
        <w:tc>
          <w:tcPr>
            <w:tcW w:w="3077" w:type="dxa"/>
            <w:vAlign w:val="center"/>
          </w:tcPr>
          <w:p w14:paraId="651FD70F" w14:textId="77777777" w:rsidR="00003F22" w:rsidRDefault="00003F22" w:rsidP="006B7C62">
            <w:proofErr w:type="spellStart"/>
            <w:r>
              <w:t>Waters</w:t>
            </w:r>
            <w:proofErr w:type="spellEnd"/>
            <w:r>
              <w:t xml:space="preserve"> Edge Hotel, Battaramulla</w:t>
            </w:r>
          </w:p>
        </w:tc>
      </w:tr>
      <w:tr w:rsidR="00003F22" w14:paraId="2295D87D" w14:textId="77777777" w:rsidTr="0020239D">
        <w:trPr>
          <w:trHeight w:val="864"/>
        </w:trPr>
        <w:tc>
          <w:tcPr>
            <w:tcW w:w="535" w:type="dxa"/>
            <w:vAlign w:val="center"/>
          </w:tcPr>
          <w:p w14:paraId="00D36C3A" w14:textId="77777777" w:rsidR="00003F22" w:rsidRDefault="00003F22" w:rsidP="00003F22">
            <w:pPr>
              <w:jc w:val="center"/>
            </w:pPr>
            <w:r>
              <w:t>5</w:t>
            </w:r>
          </w:p>
        </w:tc>
        <w:tc>
          <w:tcPr>
            <w:tcW w:w="3780" w:type="dxa"/>
            <w:vAlign w:val="center"/>
          </w:tcPr>
          <w:p w14:paraId="49EBA5A4" w14:textId="77777777" w:rsidR="00003F22" w:rsidRDefault="00003F22" w:rsidP="006B7C62">
            <w:r>
              <w:t xml:space="preserve">VALIDATION WORKSHOP </w:t>
            </w:r>
            <w:r w:rsidRPr="00C10F6C">
              <w:t xml:space="preserve">– </w:t>
            </w:r>
            <w:r>
              <w:t>BIODIVERSITY EXPENDITURE REVIEW</w:t>
            </w:r>
          </w:p>
        </w:tc>
        <w:tc>
          <w:tcPr>
            <w:tcW w:w="1625" w:type="dxa"/>
            <w:vAlign w:val="center"/>
          </w:tcPr>
          <w:p w14:paraId="73A203A3" w14:textId="77777777" w:rsidR="00003F22" w:rsidRDefault="00003F22" w:rsidP="006B7C62">
            <w:r>
              <w:t xml:space="preserve">30 October </w:t>
            </w:r>
          </w:p>
          <w:p w14:paraId="703E63BC" w14:textId="29727210" w:rsidR="00003F22" w:rsidRDefault="00003F22" w:rsidP="006B7C62">
            <w:r>
              <w:t>2017</w:t>
            </w:r>
          </w:p>
        </w:tc>
        <w:tc>
          <w:tcPr>
            <w:tcW w:w="3077" w:type="dxa"/>
            <w:vAlign w:val="center"/>
          </w:tcPr>
          <w:p w14:paraId="248522D4" w14:textId="77777777" w:rsidR="00003F22" w:rsidRDefault="00003F22" w:rsidP="006B7C62">
            <w:proofErr w:type="spellStart"/>
            <w:r>
              <w:t>Waters</w:t>
            </w:r>
            <w:proofErr w:type="spellEnd"/>
            <w:r>
              <w:t xml:space="preserve"> Edge Hotel, Battaramulla</w:t>
            </w:r>
          </w:p>
        </w:tc>
      </w:tr>
      <w:tr w:rsidR="00003F22" w14:paraId="183D443F" w14:textId="77777777" w:rsidTr="0020239D">
        <w:trPr>
          <w:trHeight w:val="864"/>
        </w:trPr>
        <w:tc>
          <w:tcPr>
            <w:tcW w:w="535" w:type="dxa"/>
            <w:vAlign w:val="center"/>
          </w:tcPr>
          <w:p w14:paraId="699EF319" w14:textId="77777777" w:rsidR="00003F22" w:rsidRDefault="00003F22" w:rsidP="00003F22">
            <w:pPr>
              <w:jc w:val="center"/>
            </w:pPr>
            <w:r>
              <w:t>6</w:t>
            </w:r>
          </w:p>
        </w:tc>
        <w:tc>
          <w:tcPr>
            <w:tcW w:w="3780" w:type="dxa"/>
            <w:vAlign w:val="center"/>
          </w:tcPr>
          <w:p w14:paraId="11E0EF0F" w14:textId="77777777" w:rsidR="00003F22" w:rsidRDefault="00003F22" w:rsidP="006B7C62">
            <w:r>
              <w:t xml:space="preserve">VALIDATION WORKSHOP – FINANCE NEEDS ASSESSMENT </w:t>
            </w:r>
          </w:p>
        </w:tc>
        <w:tc>
          <w:tcPr>
            <w:tcW w:w="1625" w:type="dxa"/>
            <w:vAlign w:val="center"/>
          </w:tcPr>
          <w:p w14:paraId="7D3FD847" w14:textId="77777777" w:rsidR="00003F22" w:rsidRDefault="00003F22" w:rsidP="006B7C62">
            <w:r>
              <w:t>6-7 November 2017</w:t>
            </w:r>
          </w:p>
        </w:tc>
        <w:tc>
          <w:tcPr>
            <w:tcW w:w="3077" w:type="dxa"/>
            <w:vAlign w:val="center"/>
          </w:tcPr>
          <w:p w14:paraId="15592716" w14:textId="77777777" w:rsidR="00003F22" w:rsidRDefault="00003F22" w:rsidP="006B7C62">
            <w:r>
              <w:t xml:space="preserve">Citrus Hotel, </w:t>
            </w:r>
            <w:proofErr w:type="spellStart"/>
            <w:r>
              <w:t>Waskaduwa</w:t>
            </w:r>
            <w:proofErr w:type="spellEnd"/>
          </w:p>
        </w:tc>
      </w:tr>
      <w:tr w:rsidR="00003F22" w14:paraId="59DE1A20" w14:textId="77777777" w:rsidTr="0020239D">
        <w:trPr>
          <w:trHeight w:val="864"/>
        </w:trPr>
        <w:tc>
          <w:tcPr>
            <w:tcW w:w="535" w:type="dxa"/>
            <w:vAlign w:val="center"/>
          </w:tcPr>
          <w:p w14:paraId="016FE2C8" w14:textId="77777777" w:rsidR="00003F22" w:rsidRDefault="00003F22" w:rsidP="00003F22">
            <w:pPr>
              <w:jc w:val="center"/>
            </w:pPr>
            <w:r>
              <w:t>7</w:t>
            </w:r>
          </w:p>
        </w:tc>
        <w:tc>
          <w:tcPr>
            <w:tcW w:w="3780" w:type="dxa"/>
            <w:vAlign w:val="center"/>
          </w:tcPr>
          <w:p w14:paraId="3C5BC77B" w14:textId="77777777" w:rsidR="00003F22" w:rsidRPr="00624CB6" w:rsidRDefault="00003F22" w:rsidP="006B7C62">
            <w:pPr>
              <w:rPr>
                <w:caps/>
              </w:rPr>
            </w:pPr>
            <w:r w:rsidRPr="00624CB6">
              <w:rPr>
                <w:caps/>
              </w:rPr>
              <w:t xml:space="preserve">Expert Consultation Meeting on Biodiversity Finance Plan Preparation </w:t>
            </w:r>
          </w:p>
        </w:tc>
        <w:tc>
          <w:tcPr>
            <w:tcW w:w="1625" w:type="dxa"/>
            <w:vAlign w:val="center"/>
          </w:tcPr>
          <w:p w14:paraId="268E8E61" w14:textId="77777777" w:rsidR="00003F22" w:rsidRDefault="00003F22" w:rsidP="00003F22">
            <w:r>
              <w:t xml:space="preserve">20-21 March </w:t>
            </w:r>
          </w:p>
          <w:p w14:paraId="280095B3" w14:textId="45F8EC6A" w:rsidR="00003F22" w:rsidRDefault="00003F22" w:rsidP="00003F22">
            <w:r>
              <w:t>2018</w:t>
            </w:r>
          </w:p>
        </w:tc>
        <w:tc>
          <w:tcPr>
            <w:tcW w:w="3077" w:type="dxa"/>
            <w:vAlign w:val="center"/>
          </w:tcPr>
          <w:p w14:paraId="397BB511" w14:textId="77777777" w:rsidR="00003F22" w:rsidRDefault="00003F22" w:rsidP="006B7C62">
            <w:r>
              <w:t>Jetwing Blue, Negombo</w:t>
            </w:r>
          </w:p>
        </w:tc>
      </w:tr>
      <w:tr w:rsidR="00003F22" w14:paraId="18B01B44" w14:textId="77777777" w:rsidTr="0020239D">
        <w:trPr>
          <w:trHeight w:val="864"/>
        </w:trPr>
        <w:tc>
          <w:tcPr>
            <w:tcW w:w="535" w:type="dxa"/>
            <w:vAlign w:val="center"/>
          </w:tcPr>
          <w:p w14:paraId="389D2C5F" w14:textId="77777777" w:rsidR="00003F22" w:rsidRDefault="00003F22" w:rsidP="00003F22">
            <w:pPr>
              <w:jc w:val="center"/>
            </w:pPr>
            <w:r>
              <w:t>8</w:t>
            </w:r>
          </w:p>
        </w:tc>
        <w:tc>
          <w:tcPr>
            <w:tcW w:w="3780" w:type="dxa"/>
            <w:vAlign w:val="center"/>
          </w:tcPr>
          <w:p w14:paraId="00BBFDD3" w14:textId="77777777" w:rsidR="00003F22" w:rsidRDefault="00003F22" w:rsidP="006B7C62">
            <w:r>
              <w:t>WORKSHOP ON SUSTAINABLE TOURISM CERTIFICATION SCHEME</w:t>
            </w:r>
          </w:p>
        </w:tc>
        <w:tc>
          <w:tcPr>
            <w:tcW w:w="1625" w:type="dxa"/>
            <w:vAlign w:val="center"/>
          </w:tcPr>
          <w:p w14:paraId="79927BCA" w14:textId="77777777" w:rsidR="00003F22" w:rsidRDefault="00003F22" w:rsidP="006B7C62">
            <w:r>
              <w:t xml:space="preserve">5 May </w:t>
            </w:r>
          </w:p>
          <w:p w14:paraId="47053BCD" w14:textId="03A3FA0F" w:rsidR="00003F22" w:rsidRDefault="00003F22" w:rsidP="006B7C62">
            <w:r>
              <w:t>2018</w:t>
            </w:r>
          </w:p>
        </w:tc>
        <w:tc>
          <w:tcPr>
            <w:tcW w:w="3077" w:type="dxa"/>
            <w:vAlign w:val="center"/>
          </w:tcPr>
          <w:p w14:paraId="2ED41180" w14:textId="77777777" w:rsidR="00003F22" w:rsidRDefault="00003F22" w:rsidP="006B7C62">
            <w:r>
              <w:t>Taj Samudra, Colombo</w:t>
            </w:r>
          </w:p>
        </w:tc>
      </w:tr>
      <w:tr w:rsidR="00003F22" w14:paraId="0CC8471C" w14:textId="77777777" w:rsidTr="0020239D">
        <w:trPr>
          <w:trHeight w:val="864"/>
        </w:trPr>
        <w:tc>
          <w:tcPr>
            <w:tcW w:w="535" w:type="dxa"/>
            <w:tcBorders>
              <w:bottom w:val="single" w:sz="4" w:space="0" w:color="auto"/>
            </w:tcBorders>
            <w:vAlign w:val="center"/>
          </w:tcPr>
          <w:p w14:paraId="3712C949" w14:textId="77777777" w:rsidR="00003F22" w:rsidRDefault="00003F22" w:rsidP="00003F22">
            <w:pPr>
              <w:jc w:val="center"/>
            </w:pPr>
            <w:r>
              <w:t>9</w:t>
            </w:r>
          </w:p>
        </w:tc>
        <w:tc>
          <w:tcPr>
            <w:tcW w:w="3780" w:type="dxa"/>
            <w:tcBorders>
              <w:bottom w:val="single" w:sz="4" w:space="0" w:color="auto"/>
            </w:tcBorders>
            <w:vAlign w:val="center"/>
          </w:tcPr>
          <w:p w14:paraId="66C0B73B" w14:textId="77777777" w:rsidR="00003F22" w:rsidRPr="00624CB6" w:rsidRDefault="00003F22" w:rsidP="006B7C62">
            <w:pPr>
              <w:rPr>
                <w:caps/>
              </w:rPr>
            </w:pPr>
            <w:r w:rsidRPr="00624CB6">
              <w:rPr>
                <w:caps/>
              </w:rPr>
              <w:t>Payment for Ecosystem Services Roundtable Discussion</w:t>
            </w:r>
          </w:p>
        </w:tc>
        <w:tc>
          <w:tcPr>
            <w:tcW w:w="1625" w:type="dxa"/>
            <w:tcBorders>
              <w:bottom w:val="single" w:sz="4" w:space="0" w:color="auto"/>
            </w:tcBorders>
            <w:vAlign w:val="center"/>
          </w:tcPr>
          <w:p w14:paraId="44BCC6B9" w14:textId="77777777" w:rsidR="00003F22" w:rsidRDefault="00003F22" w:rsidP="006B7C62">
            <w:r>
              <w:t xml:space="preserve">29-31 May </w:t>
            </w:r>
          </w:p>
          <w:p w14:paraId="0A4237BE" w14:textId="192086AB" w:rsidR="00003F22" w:rsidRDefault="00003F22" w:rsidP="006B7C62">
            <w:r>
              <w:t>2018</w:t>
            </w:r>
          </w:p>
        </w:tc>
        <w:tc>
          <w:tcPr>
            <w:tcW w:w="3077" w:type="dxa"/>
            <w:tcBorders>
              <w:bottom w:val="single" w:sz="4" w:space="0" w:color="auto"/>
            </w:tcBorders>
            <w:vAlign w:val="center"/>
          </w:tcPr>
          <w:p w14:paraId="29611751" w14:textId="77777777" w:rsidR="00003F22" w:rsidRDefault="00003F22" w:rsidP="006B7C62">
            <w:r>
              <w:t>Jetwing Blue, Negombo</w:t>
            </w:r>
          </w:p>
        </w:tc>
      </w:tr>
      <w:tr w:rsidR="00003F22" w14:paraId="5265C262" w14:textId="77777777" w:rsidTr="0020239D">
        <w:trPr>
          <w:trHeight w:val="864"/>
        </w:trPr>
        <w:tc>
          <w:tcPr>
            <w:tcW w:w="535" w:type="dxa"/>
            <w:tcBorders>
              <w:top w:val="single" w:sz="4" w:space="0" w:color="auto"/>
              <w:bottom w:val="single" w:sz="4" w:space="0" w:color="auto"/>
            </w:tcBorders>
            <w:vAlign w:val="center"/>
          </w:tcPr>
          <w:p w14:paraId="7A5CB7FD" w14:textId="77777777" w:rsidR="00003F22" w:rsidRDefault="00003F22" w:rsidP="00003F22">
            <w:pPr>
              <w:jc w:val="center"/>
            </w:pPr>
            <w:r>
              <w:t>10</w:t>
            </w:r>
          </w:p>
        </w:tc>
        <w:tc>
          <w:tcPr>
            <w:tcW w:w="3780" w:type="dxa"/>
            <w:tcBorders>
              <w:top w:val="single" w:sz="4" w:space="0" w:color="auto"/>
              <w:bottom w:val="single" w:sz="4" w:space="0" w:color="auto"/>
            </w:tcBorders>
            <w:vAlign w:val="center"/>
          </w:tcPr>
          <w:p w14:paraId="520B554D" w14:textId="27D72F13" w:rsidR="00003F22" w:rsidRDefault="00003F22" w:rsidP="00003F22">
            <w:r>
              <w:t xml:space="preserve">ACTION PLAN WORKSHOP </w:t>
            </w:r>
            <w:proofErr w:type="gramStart"/>
            <w:r w:rsidRPr="00003F22">
              <w:t xml:space="preserve">– </w:t>
            </w:r>
            <w:r>
              <w:t xml:space="preserve"> BIODIVERSITY</w:t>
            </w:r>
            <w:proofErr w:type="gramEnd"/>
            <w:r>
              <w:t xml:space="preserve"> FINANCE PLAN</w:t>
            </w:r>
          </w:p>
        </w:tc>
        <w:tc>
          <w:tcPr>
            <w:tcW w:w="1625" w:type="dxa"/>
            <w:tcBorders>
              <w:top w:val="single" w:sz="4" w:space="0" w:color="auto"/>
              <w:bottom w:val="single" w:sz="4" w:space="0" w:color="auto"/>
            </w:tcBorders>
            <w:vAlign w:val="center"/>
          </w:tcPr>
          <w:p w14:paraId="0FDB1156" w14:textId="77777777" w:rsidR="00003F22" w:rsidRDefault="00003F22" w:rsidP="006B7C62">
            <w:r>
              <w:t xml:space="preserve">24 July </w:t>
            </w:r>
          </w:p>
          <w:p w14:paraId="17D4567F" w14:textId="6234C118" w:rsidR="00003F22" w:rsidRDefault="00003F22" w:rsidP="006B7C62">
            <w:r>
              <w:t>2018</w:t>
            </w:r>
          </w:p>
        </w:tc>
        <w:tc>
          <w:tcPr>
            <w:tcW w:w="3077" w:type="dxa"/>
            <w:tcBorders>
              <w:top w:val="single" w:sz="4" w:space="0" w:color="auto"/>
              <w:bottom w:val="single" w:sz="4" w:space="0" w:color="auto"/>
            </w:tcBorders>
            <w:vAlign w:val="center"/>
          </w:tcPr>
          <w:p w14:paraId="480712B7" w14:textId="77777777" w:rsidR="00003F22" w:rsidRDefault="00003F22" w:rsidP="006B7C62">
            <w:r>
              <w:t>Taj Samudra, Colombo</w:t>
            </w:r>
          </w:p>
        </w:tc>
      </w:tr>
    </w:tbl>
    <w:p w14:paraId="4EBF9069" w14:textId="77777777" w:rsidR="00003F22" w:rsidRDefault="00003F22" w:rsidP="00440AC3"/>
    <w:p w14:paraId="2613E3BD" w14:textId="3ECA7FF2" w:rsidR="00EC44B6" w:rsidRDefault="00EC44B6">
      <w:r>
        <w:br w:type="page"/>
      </w:r>
    </w:p>
    <w:p w14:paraId="799B4B17" w14:textId="77777777" w:rsidR="00003F22" w:rsidRDefault="00003F22" w:rsidP="00440AC3"/>
    <w:p w14:paraId="0275EC57" w14:textId="54DB69DA" w:rsidR="00EC44B6" w:rsidRDefault="00F36047" w:rsidP="00EC44B6">
      <w:pPr>
        <w:jc w:val="center"/>
        <w:rPr>
          <w:b/>
          <w:sz w:val="32"/>
          <w:szCs w:val="36"/>
        </w:rPr>
      </w:pPr>
      <w:r>
        <w:rPr>
          <w:b/>
          <w:sz w:val="32"/>
          <w:szCs w:val="36"/>
        </w:rPr>
        <w:t>V</w:t>
      </w:r>
      <w:r w:rsidR="00EC44B6" w:rsidRPr="00440AC3">
        <w:rPr>
          <w:b/>
          <w:sz w:val="32"/>
          <w:szCs w:val="36"/>
        </w:rPr>
        <w:t>I. Key Informants and Dignitaries in the BIOFIN Process</w:t>
      </w:r>
    </w:p>
    <w:p w14:paraId="33E00587" w14:textId="77777777" w:rsidR="007F506D" w:rsidRPr="00440AC3" w:rsidRDefault="007F506D" w:rsidP="00EC44B6">
      <w:pPr>
        <w:jc w:val="center"/>
        <w:rPr>
          <w:b/>
          <w:sz w:val="32"/>
          <w:szCs w:val="3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5"/>
        <w:gridCol w:w="2610"/>
        <w:gridCol w:w="2790"/>
        <w:gridCol w:w="3082"/>
      </w:tblGrid>
      <w:tr w:rsidR="00EC44B6" w:rsidRPr="007F506D" w14:paraId="2A8789F7" w14:textId="77777777" w:rsidTr="006B7C62">
        <w:trPr>
          <w:trHeight w:val="557"/>
        </w:trPr>
        <w:tc>
          <w:tcPr>
            <w:tcW w:w="535" w:type="dxa"/>
            <w:tcBorders>
              <w:top w:val="single" w:sz="4" w:space="0" w:color="auto"/>
              <w:bottom w:val="single" w:sz="4" w:space="0" w:color="auto"/>
            </w:tcBorders>
            <w:vAlign w:val="center"/>
          </w:tcPr>
          <w:p w14:paraId="00F87484" w14:textId="77777777" w:rsidR="00EC44B6" w:rsidRPr="007F506D" w:rsidRDefault="00EC44B6" w:rsidP="006B7C62">
            <w:pPr>
              <w:jc w:val="center"/>
              <w:rPr>
                <w:b/>
              </w:rPr>
            </w:pPr>
          </w:p>
        </w:tc>
        <w:tc>
          <w:tcPr>
            <w:tcW w:w="2610" w:type="dxa"/>
            <w:tcBorders>
              <w:top w:val="single" w:sz="4" w:space="0" w:color="auto"/>
              <w:bottom w:val="single" w:sz="4" w:space="0" w:color="auto"/>
            </w:tcBorders>
            <w:vAlign w:val="center"/>
          </w:tcPr>
          <w:p w14:paraId="569A9431" w14:textId="77777777" w:rsidR="00EC44B6" w:rsidRPr="007F506D" w:rsidRDefault="00EC44B6" w:rsidP="006B7C62">
            <w:pPr>
              <w:rPr>
                <w:b/>
              </w:rPr>
            </w:pPr>
            <w:r w:rsidRPr="007F506D">
              <w:rPr>
                <w:b/>
              </w:rPr>
              <w:t>Name</w:t>
            </w:r>
          </w:p>
        </w:tc>
        <w:tc>
          <w:tcPr>
            <w:tcW w:w="2790" w:type="dxa"/>
            <w:tcBorders>
              <w:top w:val="single" w:sz="4" w:space="0" w:color="auto"/>
              <w:bottom w:val="single" w:sz="4" w:space="0" w:color="auto"/>
            </w:tcBorders>
            <w:vAlign w:val="center"/>
          </w:tcPr>
          <w:p w14:paraId="0333FB08" w14:textId="77777777" w:rsidR="00EC44B6" w:rsidRPr="007F506D" w:rsidRDefault="00EC44B6" w:rsidP="006B7C62">
            <w:pPr>
              <w:rPr>
                <w:b/>
              </w:rPr>
            </w:pPr>
            <w:r w:rsidRPr="007F506D">
              <w:rPr>
                <w:b/>
              </w:rPr>
              <w:t>Designation</w:t>
            </w:r>
          </w:p>
        </w:tc>
        <w:tc>
          <w:tcPr>
            <w:tcW w:w="3082" w:type="dxa"/>
            <w:tcBorders>
              <w:top w:val="single" w:sz="4" w:space="0" w:color="auto"/>
              <w:bottom w:val="single" w:sz="4" w:space="0" w:color="auto"/>
            </w:tcBorders>
            <w:vAlign w:val="center"/>
          </w:tcPr>
          <w:p w14:paraId="7C322377" w14:textId="77777777" w:rsidR="00EC44B6" w:rsidRPr="007F506D" w:rsidRDefault="00EC44B6" w:rsidP="006B7C62">
            <w:pPr>
              <w:rPr>
                <w:b/>
              </w:rPr>
            </w:pPr>
            <w:r w:rsidRPr="007F506D">
              <w:rPr>
                <w:b/>
              </w:rPr>
              <w:t>Institution</w:t>
            </w:r>
          </w:p>
        </w:tc>
      </w:tr>
      <w:tr w:rsidR="00EC44B6" w14:paraId="0EC0F982" w14:textId="77777777" w:rsidTr="006B7C62">
        <w:trPr>
          <w:trHeight w:val="432"/>
        </w:trPr>
        <w:tc>
          <w:tcPr>
            <w:tcW w:w="535" w:type="dxa"/>
            <w:tcBorders>
              <w:top w:val="single" w:sz="4" w:space="0" w:color="auto"/>
            </w:tcBorders>
            <w:vAlign w:val="center"/>
          </w:tcPr>
          <w:p w14:paraId="2CC48B58" w14:textId="77777777" w:rsidR="00EC44B6" w:rsidRDefault="00EC44B6" w:rsidP="006B7C62">
            <w:pPr>
              <w:jc w:val="center"/>
            </w:pPr>
            <w:r>
              <w:t>1</w:t>
            </w:r>
          </w:p>
        </w:tc>
        <w:tc>
          <w:tcPr>
            <w:tcW w:w="2610" w:type="dxa"/>
            <w:tcBorders>
              <w:top w:val="single" w:sz="4" w:space="0" w:color="auto"/>
            </w:tcBorders>
            <w:vAlign w:val="center"/>
          </w:tcPr>
          <w:p w14:paraId="0B2274CE" w14:textId="77777777" w:rsidR="00EC44B6" w:rsidRDefault="00EC44B6" w:rsidP="006B7C62">
            <w:proofErr w:type="spellStart"/>
            <w:r>
              <w:t>Indrajit</w:t>
            </w:r>
            <w:proofErr w:type="spellEnd"/>
            <w:r>
              <w:t xml:space="preserve"> Coomaraswamy</w:t>
            </w:r>
          </w:p>
        </w:tc>
        <w:tc>
          <w:tcPr>
            <w:tcW w:w="2790" w:type="dxa"/>
            <w:tcBorders>
              <w:top w:val="single" w:sz="4" w:space="0" w:color="auto"/>
            </w:tcBorders>
            <w:vAlign w:val="center"/>
          </w:tcPr>
          <w:p w14:paraId="43E7C167" w14:textId="77777777" w:rsidR="00EC44B6" w:rsidRDefault="00EC44B6" w:rsidP="006B7C62">
            <w:r>
              <w:t>Governor</w:t>
            </w:r>
          </w:p>
        </w:tc>
        <w:tc>
          <w:tcPr>
            <w:tcW w:w="3082" w:type="dxa"/>
            <w:vMerge w:val="restart"/>
            <w:tcBorders>
              <w:top w:val="single" w:sz="4" w:space="0" w:color="auto"/>
            </w:tcBorders>
            <w:vAlign w:val="center"/>
          </w:tcPr>
          <w:p w14:paraId="2CF35998" w14:textId="77777777" w:rsidR="00EC44B6" w:rsidRDefault="00EC44B6" w:rsidP="006B7C62">
            <w:r>
              <w:t>Central Bank of Sri Lanka</w:t>
            </w:r>
          </w:p>
        </w:tc>
      </w:tr>
      <w:tr w:rsidR="00EC44B6" w14:paraId="4A44CAAA" w14:textId="77777777" w:rsidTr="006B7C62">
        <w:trPr>
          <w:trHeight w:val="432"/>
        </w:trPr>
        <w:tc>
          <w:tcPr>
            <w:tcW w:w="535" w:type="dxa"/>
            <w:vAlign w:val="center"/>
          </w:tcPr>
          <w:p w14:paraId="1C30A92D" w14:textId="77777777" w:rsidR="00EC44B6" w:rsidRDefault="00EC44B6" w:rsidP="006B7C62">
            <w:pPr>
              <w:jc w:val="center"/>
            </w:pPr>
            <w:r>
              <w:t>2</w:t>
            </w:r>
          </w:p>
        </w:tc>
        <w:tc>
          <w:tcPr>
            <w:tcW w:w="2610" w:type="dxa"/>
            <w:vAlign w:val="center"/>
          </w:tcPr>
          <w:p w14:paraId="11D6D8A0" w14:textId="77777777" w:rsidR="00EC44B6" w:rsidRDefault="00EC44B6" w:rsidP="006B7C62">
            <w:proofErr w:type="spellStart"/>
            <w:r>
              <w:t>Nandalal</w:t>
            </w:r>
            <w:proofErr w:type="spellEnd"/>
            <w:r>
              <w:t xml:space="preserve"> Weerasinghe</w:t>
            </w:r>
          </w:p>
        </w:tc>
        <w:tc>
          <w:tcPr>
            <w:tcW w:w="2790" w:type="dxa"/>
            <w:vAlign w:val="center"/>
          </w:tcPr>
          <w:p w14:paraId="7A412B38" w14:textId="77777777" w:rsidR="00EC44B6" w:rsidRDefault="00EC44B6" w:rsidP="006B7C62">
            <w:r>
              <w:t>Senior Deputy Governor</w:t>
            </w:r>
          </w:p>
        </w:tc>
        <w:tc>
          <w:tcPr>
            <w:tcW w:w="3082" w:type="dxa"/>
            <w:vMerge/>
            <w:vAlign w:val="center"/>
          </w:tcPr>
          <w:p w14:paraId="3123ECEB" w14:textId="77777777" w:rsidR="00EC44B6" w:rsidRDefault="00EC44B6" w:rsidP="006B7C62"/>
        </w:tc>
      </w:tr>
      <w:tr w:rsidR="00EC44B6" w14:paraId="38E674EC" w14:textId="77777777" w:rsidTr="006B7C62">
        <w:trPr>
          <w:trHeight w:val="432"/>
        </w:trPr>
        <w:tc>
          <w:tcPr>
            <w:tcW w:w="535" w:type="dxa"/>
            <w:vAlign w:val="center"/>
          </w:tcPr>
          <w:p w14:paraId="4C1FA6B0" w14:textId="77777777" w:rsidR="00EC44B6" w:rsidRDefault="00EC44B6" w:rsidP="006B7C62">
            <w:pPr>
              <w:jc w:val="center"/>
            </w:pPr>
            <w:r>
              <w:t>3</w:t>
            </w:r>
          </w:p>
        </w:tc>
        <w:tc>
          <w:tcPr>
            <w:tcW w:w="2610" w:type="dxa"/>
            <w:vAlign w:val="center"/>
          </w:tcPr>
          <w:p w14:paraId="754A79FD" w14:textId="77777777" w:rsidR="00EC44B6" w:rsidRDefault="00EC44B6" w:rsidP="006B7C62">
            <w:r>
              <w:t>K.D. Ranasinghe</w:t>
            </w:r>
          </w:p>
        </w:tc>
        <w:tc>
          <w:tcPr>
            <w:tcW w:w="2790" w:type="dxa"/>
            <w:vAlign w:val="center"/>
          </w:tcPr>
          <w:p w14:paraId="4536C6C3" w14:textId="77777777" w:rsidR="00EC44B6" w:rsidRDefault="00EC44B6" w:rsidP="006B7C62">
            <w:r w:rsidRPr="0090073E">
              <w:t>Deputy Governor</w:t>
            </w:r>
          </w:p>
        </w:tc>
        <w:tc>
          <w:tcPr>
            <w:tcW w:w="3082" w:type="dxa"/>
            <w:vMerge/>
            <w:vAlign w:val="center"/>
          </w:tcPr>
          <w:p w14:paraId="6173F763" w14:textId="77777777" w:rsidR="00EC44B6" w:rsidRDefault="00EC44B6" w:rsidP="006B7C62"/>
        </w:tc>
      </w:tr>
      <w:tr w:rsidR="00EC44B6" w14:paraId="551045F4" w14:textId="77777777" w:rsidTr="006B7C62">
        <w:trPr>
          <w:trHeight w:val="432"/>
        </w:trPr>
        <w:tc>
          <w:tcPr>
            <w:tcW w:w="535" w:type="dxa"/>
            <w:vAlign w:val="center"/>
          </w:tcPr>
          <w:p w14:paraId="7C20410C" w14:textId="77777777" w:rsidR="00EC44B6" w:rsidRDefault="00EC44B6" w:rsidP="006B7C62">
            <w:pPr>
              <w:jc w:val="center"/>
            </w:pPr>
            <w:r>
              <w:t>4</w:t>
            </w:r>
          </w:p>
        </w:tc>
        <w:tc>
          <w:tcPr>
            <w:tcW w:w="2610" w:type="dxa"/>
            <w:vAlign w:val="center"/>
          </w:tcPr>
          <w:p w14:paraId="7C6C55DA" w14:textId="77777777" w:rsidR="00EC44B6" w:rsidRDefault="00EC44B6" w:rsidP="006B7C62">
            <w:r>
              <w:t xml:space="preserve">C.J.P. </w:t>
            </w:r>
            <w:proofErr w:type="spellStart"/>
            <w:r>
              <w:t>Siriwardena</w:t>
            </w:r>
            <w:proofErr w:type="spellEnd"/>
          </w:p>
        </w:tc>
        <w:tc>
          <w:tcPr>
            <w:tcW w:w="2790" w:type="dxa"/>
            <w:vAlign w:val="center"/>
          </w:tcPr>
          <w:p w14:paraId="63268CFF" w14:textId="77777777" w:rsidR="00EC44B6" w:rsidRDefault="00EC44B6" w:rsidP="006B7C62">
            <w:r w:rsidRPr="0090073E">
              <w:t>Deputy Governor</w:t>
            </w:r>
          </w:p>
        </w:tc>
        <w:tc>
          <w:tcPr>
            <w:tcW w:w="3082" w:type="dxa"/>
            <w:vMerge/>
            <w:vAlign w:val="center"/>
          </w:tcPr>
          <w:p w14:paraId="58FBF5C4" w14:textId="77777777" w:rsidR="00EC44B6" w:rsidRDefault="00EC44B6" w:rsidP="006B7C62"/>
        </w:tc>
      </w:tr>
      <w:tr w:rsidR="00EC44B6" w14:paraId="3DFF5350" w14:textId="77777777" w:rsidTr="006B7C62">
        <w:trPr>
          <w:trHeight w:val="432"/>
        </w:trPr>
        <w:tc>
          <w:tcPr>
            <w:tcW w:w="535" w:type="dxa"/>
            <w:vAlign w:val="center"/>
          </w:tcPr>
          <w:p w14:paraId="6C58951A" w14:textId="77777777" w:rsidR="00EC44B6" w:rsidRDefault="00EC44B6" w:rsidP="006B7C62">
            <w:pPr>
              <w:jc w:val="center"/>
            </w:pPr>
            <w:r>
              <w:t>5</w:t>
            </w:r>
          </w:p>
        </w:tc>
        <w:tc>
          <w:tcPr>
            <w:tcW w:w="2610" w:type="dxa"/>
            <w:vAlign w:val="center"/>
          </w:tcPr>
          <w:p w14:paraId="1D5D0321" w14:textId="77777777" w:rsidR="00EC44B6" w:rsidRDefault="00EC44B6" w:rsidP="006B7C62">
            <w:r>
              <w:t>Shan Fernando</w:t>
            </w:r>
          </w:p>
        </w:tc>
        <w:tc>
          <w:tcPr>
            <w:tcW w:w="2790" w:type="dxa"/>
            <w:vAlign w:val="center"/>
          </w:tcPr>
          <w:p w14:paraId="144DC60F" w14:textId="77777777" w:rsidR="00EC44B6" w:rsidRDefault="00EC44B6" w:rsidP="006B7C62">
            <w:r w:rsidRPr="000C3057">
              <w:t xml:space="preserve">Chief Manager - </w:t>
            </w:r>
            <w:r>
              <w:t>R&amp;D</w:t>
            </w:r>
          </w:p>
        </w:tc>
        <w:tc>
          <w:tcPr>
            <w:tcW w:w="3082" w:type="dxa"/>
            <w:vAlign w:val="center"/>
          </w:tcPr>
          <w:p w14:paraId="06B3E25A" w14:textId="77777777" w:rsidR="00EC44B6" w:rsidRDefault="00EC44B6" w:rsidP="006B7C62">
            <w:r w:rsidRPr="000C3057">
              <w:t>Commercial Bank of Ceylon PLC</w:t>
            </w:r>
          </w:p>
        </w:tc>
      </w:tr>
      <w:tr w:rsidR="00EC44B6" w14:paraId="53CFD253" w14:textId="77777777" w:rsidTr="006B7C62">
        <w:trPr>
          <w:trHeight w:val="432"/>
        </w:trPr>
        <w:tc>
          <w:tcPr>
            <w:tcW w:w="535" w:type="dxa"/>
            <w:vAlign w:val="center"/>
          </w:tcPr>
          <w:p w14:paraId="072BFBE2" w14:textId="77777777" w:rsidR="00EC44B6" w:rsidRDefault="00EC44B6" w:rsidP="006B7C62">
            <w:pPr>
              <w:jc w:val="center"/>
            </w:pPr>
            <w:r>
              <w:t>6</w:t>
            </w:r>
          </w:p>
        </w:tc>
        <w:tc>
          <w:tcPr>
            <w:tcW w:w="2610" w:type="dxa"/>
            <w:vAlign w:val="center"/>
          </w:tcPr>
          <w:p w14:paraId="3D6ABC15" w14:textId="77777777" w:rsidR="00EC44B6" w:rsidRDefault="00EC44B6" w:rsidP="006B7C62">
            <w:r w:rsidRPr="00F632E6">
              <w:t>R</w:t>
            </w:r>
            <w:r>
              <w:t>.</w:t>
            </w:r>
            <w:r w:rsidRPr="00F632E6">
              <w:t>H</w:t>
            </w:r>
            <w:r>
              <w:t>.</w:t>
            </w:r>
            <w:r w:rsidRPr="00F632E6">
              <w:t>S</w:t>
            </w:r>
            <w:r>
              <w:t>.</w:t>
            </w:r>
            <w:r w:rsidRPr="00F632E6">
              <w:t xml:space="preserve"> </w:t>
            </w:r>
            <w:proofErr w:type="spellStart"/>
            <w:r w:rsidRPr="00F632E6">
              <w:t>Samaratunga</w:t>
            </w:r>
            <w:proofErr w:type="spellEnd"/>
          </w:p>
        </w:tc>
        <w:tc>
          <w:tcPr>
            <w:tcW w:w="2790" w:type="dxa"/>
            <w:vAlign w:val="center"/>
          </w:tcPr>
          <w:p w14:paraId="42BE4732" w14:textId="77777777" w:rsidR="00EC44B6" w:rsidRDefault="00EC44B6" w:rsidP="006B7C62">
            <w:r>
              <w:t>Secretary</w:t>
            </w:r>
          </w:p>
        </w:tc>
        <w:tc>
          <w:tcPr>
            <w:tcW w:w="3082" w:type="dxa"/>
            <w:vAlign w:val="center"/>
          </w:tcPr>
          <w:p w14:paraId="18BE33A4" w14:textId="77777777" w:rsidR="00EC44B6" w:rsidRDefault="00EC44B6" w:rsidP="006B7C62">
            <w:r>
              <w:t>Ministry of Finance</w:t>
            </w:r>
          </w:p>
        </w:tc>
      </w:tr>
      <w:tr w:rsidR="007E479D" w14:paraId="4A58E5A2" w14:textId="77777777" w:rsidTr="006B7C62">
        <w:trPr>
          <w:trHeight w:val="432"/>
        </w:trPr>
        <w:tc>
          <w:tcPr>
            <w:tcW w:w="535" w:type="dxa"/>
            <w:vAlign w:val="center"/>
          </w:tcPr>
          <w:p w14:paraId="66C49962" w14:textId="77777777" w:rsidR="007E479D" w:rsidRDefault="007E479D" w:rsidP="006B7C62">
            <w:pPr>
              <w:jc w:val="center"/>
            </w:pPr>
            <w:r>
              <w:t>7</w:t>
            </w:r>
          </w:p>
        </w:tc>
        <w:tc>
          <w:tcPr>
            <w:tcW w:w="2610" w:type="dxa"/>
            <w:vAlign w:val="center"/>
          </w:tcPr>
          <w:p w14:paraId="1F3D3FA3" w14:textId="77777777" w:rsidR="007E479D" w:rsidRDefault="007E479D" w:rsidP="006B7C62">
            <w:r>
              <w:t xml:space="preserve">K.D.S. </w:t>
            </w:r>
            <w:proofErr w:type="spellStart"/>
            <w:r>
              <w:t>Ruwanchandra</w:t>
            </w:r>
            <w:proofErr w:type="spellEnd"/>
          </w:p>
        </w:tc>
        <w:tc>
          <w:tcPr>
            <w:tcW w:w="2790" w:type="dxa"/>
            <w:vAlign w:val="center"/>
          </w:tcPr>
          <w:p w14:paraId="0BBF0D6F" w14:textId="77777777" w:rsidR="007E479D" w:rsidRDefault="007E479D" w:rsidP="006B7C62">
            <w:r w:rsidRPr="00D66E03">
              <w:t>Secretary</w:t>
            </w:r>
          </w:p>
        </w:tc>
        <w:tc>
          <w:tcPr>
            <w:tcW w:w="3082" w:type="dxa"/>
            <w:vMerge w:val="restart"/>
            <w:vAlign w:val="center"/>
          </w:tcPr>
          <w:p w14:paraId="3B731E29" w14:textId="77777777" w:rsidR="007E479D" w:rsidRDefault="007E479D" w:rsidP="006B7C62">
            <w:r w:rsidRPr="00D66E03">
              <w:t>Ministry of National Policies and Economic Affairs</w:t>
            </w:r>
          </w:p>
        </w:tc>
      </w:tr>
      <w:tr w:rsidR="007E479D" w14:paraId="1234E9EF" w14:textId="77777777" w:rsidTr="006B7C62">
        <w:trPr>
          <w:trHeight w:val="432"/>
        </w:trPr>
        <w:tc>
          <w:tcPr>
            <w:tcW w:w="535" w:type="dxa"/>
            <w:vAlign w:val="center"/>
          </w:tcPr>
          <w:p w14:paraId="4F6E506B" w14:textId="77777777" w:rsidR="007E479D" w:rsidRDefault="007E479D" w:rsidP="006B7C62">
            <w:pPr>
              <w:jc w:val="center"/>
            </w:pPr>
            <w:r>
              <w:t>8</w:t>
            </w:r>
          </w:p>
        </w:tc>
        <w:tc>
          <w:tcPr>
            <w:tcW w:w="2610" w:type="dxa"/>
            <w:vAlign w:val="center"/>
          </w:tcPr>
          <w:p w14:paraId="560FE72C" w14:textId="77777777" w:rsidR="007E479D" w:rsidRDefault="007E479D" w:rsidP="006B7C62">
            <w:r w:rsidRPr="00DE3DA4">
              <w:t xml:space="preserve">M.I.M. </w:t>
            </w:r>
            <w:proofErr w:type="spellStart"/>
            <w:r w:rsidRPr="00DE3DA4">
              <w:t>Rafeek</w:t>
            </w:r>
            <w:proofErr w:type="spellEnd"/>
          </w:p>
        </w:tc>
        <w:tc>
          <w:tcPr>
            <w:tcW w:w="2790" w:type="dxa"/>
            <w:vAlign w:val="center"/>
          </w:tcPr>
          <w:p w14:paraId="3B2455B5" w14:textId="77777777" w:rsidR="007E479D" w:rsidRDefault="007E479D" w:rsidP="006B7C62">
            <w:r>
              <w:t>Former Secretary</w:t>
            </w:r>
          </w:p>
        </w:tc>
        <w:tc>
          <w:tcPr>
            <w:tcW w:w="3082" w:type="dxa"/>
            <w:vMerge/>
            <w:vAlign w:val="center"/>
          </w:tcPr>
          <w:p w14:paraId="7BF8C89B" w14:textId="5044FA35" w:rsidR="007E479D" w:rsidRDefault="007E479D" w:rsidP="006B7C62"/>
        </w:tc>
      </w:tr>
      <w:tr w:rsidR="00AA5C47" w14:paraId="53816AC2" w14:textId="77777777" w:rsidTr="006B7C62">
        <w:trPr>
          <w:trHeight w:val="432"/>
        </w:trPr>
        <w:tc>
          <w:tcPr>
            <w:tcW w:w="535" w:type="dxa"/>
            <w:vAlign w:val="center"/>
          </w:tcPr>
          <w:p w14:paraId="12FF209D" w14:textId="77777777" w:rsidR="00AA5C47" w:rsidRDefault="00AA5C47" w:rsidP="006B7C62">
            <w:pPr>
              <w:jc w:val="center"/>
            </w:pPr>
            <w:r>
              <w:t>9</w:t>
            </w:r>
          </w:p>
        </w:tc>
        <w:tc>
          <w:tcPr>
            <w:tcW w:w="2610" w:type="dxa"/>
            <w:vAlign w:val="center"/>
          </w:tcPr>
          <w:p w14:paraId="6092CFA5" w14:textId="77777777" w:rsidR="00AA5C47" w:rsidRDefault="00AA5C47" w:rsidP="006B7C62">
            <w:r w:rsidRPr="0083227D">
              <w:t>Anura Dissanayake</w:t>
            </w:r>
          </w:p>
        </w:tc>
        <w:tc>
          <w:tcPr>
            <w:tcW w:w="2790" w:type="dxa"/>
            <w:vAlign w:val="center"/>
          </w:tcPr>
          <w:p w14:paraId="7B34D803" w14:textId="77777777" w:rsidR="00AA5C47" w:rsidRDefault="00AA5C47" w:rsidP="006B7C62">
            <w:r w:rsidRPr="0083227D">
              <w:t>Secretary</w:t>
            </w:r>
          </w:p>
        </w:tc>
        <w:tc>
          <w:tcPr>
            <w:tcW w:w="3082" w:type="dxa"/>
            <w:vMerge w:val="restart"/>
            <w:vAlign w:val="center"/>
          </w:tcPr>
          <w:p w14:paraId="354FDA96" w14:textId="510E23D6" w:rsidR="00AA5C47" w:rsidRDefault="00AA5C47" w:rsidP="006B7C62">
            <w:r w:rsidRPr="007E479D">
              <w:t>Ministry of Mahaweli Development and Environment</w:t>
            </w:r>
          </w:p>
        </w:tc>
      </w:tr>
      <w:tr w:rsidR="00AA5C47" w14:paraId="1D56CC6D" w14:textId="77777777" w:rsidTr="006B7C62">
        <w:trPr>
          <w:trHeight w:val="432"/>
        </w:trPr>
        <w:tc>
          <w:tcPr>
            <w:tcW w:w="535" w:type="dxa"/>
            <w:vAlign w:val="center"/>
          </w:tcPr>
          <w:p w14:paraId="4EB46F93" w14:textId="25ED4512" w:rsidR="00AA5C47" w:rsidRDefault="00AA5C47" w:rsidP="006B7C62">
            <w:pPr>
              <w:jc w:val="center"/>
            </w:pPr>
            <w:r>
              <w:t>10</w:t>
            </w:r>
          </w:p>
        </w:tc>
        <w:tc>
          <w:tcPr>
            <w:tcW w:w="2610" w:type="dxa"/>
            <w:vAlign w:val="center"/>
          </w:tcPr>
          <w:p w14:paraId="7B293297" w14:textId="3677E158" w:rsidR="00AA5C47" w:rsidRPr="00462CB6" w:rsidRDefault="00AA5C47" w:rsidP="006B7C62">
            <w:r w:rsidRPr="00AA5C47">
              <w:t>Udaya Senevirathne</w:t>
            </w:r>
          </w:p>
        </w:tc>
        <w:tc>
          <w:tcPr>
            <w:tcW w:w="2790" w:type="dxa"/>
            <w:vAlign w:val="center"/>
          </w:tcPr>
          <w:p w14:paraId="7686C30A" w14:textId="61049267" w:rsidR="00AA5C47" w:rsidRDefault="00AA5C47" w:rsidP="006B7C62">
            <w:r w:rsidRPr="00AA5C47">
              <w:t>Former Secretary</w:t>
            </w:r>
          </w:p>
        </w:tc>
        <w:tc>
          <w:tcPr>
            <w:tcW w:w="3082" w:type="dxa"/>
            <w:vMerge/>
            <w:vAlign w:val="center"/>
          </w:tcPr>
          <w:p w14:paraId="2AF53DF6" w14:textId="77777777" w:rsidR="00AA5C47" w:rsidRDefault="00AA5C47" w:rsidP="006B7C62"/>
        </w:tc>
      </w:tr>
      <w:tr w:rsidR="00EC44B6" w14:paraId="1AB19021" w14:textId="77777777" w:rsidTr="006B7C62">
        <w:trPr>
          <w:trHeight w:val="432"/>
        </w:trPr>
        <w:tc>
          <w:tcPr>
            <w:tcW w:w="535" w:type="dxa"/>
            <w:vAlign w:val="center"/>
          </w:tcPr>
          <w:p w14:paraId="26E96C25" w14:textId="48DE29CC" w:rsidR="00EC44B6" w:rsidRDefault="00AA5C47" w:rsidP="006B7C62">
            <w:pPr>
              <w:jc w:val="center"/>
            </w:pPr>
            <w:r>
              <w:t>11</w:t>
            </w:r>
          </w:p>
        </w:tc>
        <w:tc>
          <w:tcPr>
            <w:tcW w:w="2610" w:type="dxa"/>
            <w:vAlign w:val="center"/>
          </w:tcPr>
          <w:p w14:paraId="63E68ED9" w14:textId="77777777" w:rsidR="00EC44B6" w:rsidRDefault="00EC44B6" w:rsidP="006B7C62">
            <w:proofErr w:type="spellStart"/>
            <w:r w:rsidRPr="00462CB6">
              <w:t>Damitha</w:t>
            </w:r>
            <w:proofErr w:type="spellEnd"/>
            <w:r w:rsidRPr="00462CB6">
              <w:t xml:space="preserve"> </w:t>
            </w:r>
            <w:proofErr w:type="spellStart"/>
            <w:r w:rsidRPr="00462CB6">
              <w:t>Kumarasinghe</w:t>
            </w:r>
            <w:proofErr w:type="spellEnd"/>
          </w:p>
        </w:tc>
        <w:tc>
          <w:tcPr>
            <w:tcW w:w="2790" w:type="dxa"/>
            <w:vAlign w:val="center"/>
          </w:tcPr>
          <w:p w14:paraId="1F02F8A5" w14:textId="77777777" w:rsidR="00EC44B6" w:rsidRDefault="00EC44B6" w:rsidP="006B7C62">
            <w:r>
              <w:t>Director General</w:t>
            </w:r>
          </w:p>
        </w:tc>
        <w:tc>
          <w:tcPr>
            <w:tcW w:w="3082" w:type="dxa"/>
            <w:vAlign w:val="center"/>
          </w:tcPr>
          <w:p w14:paraId="5009954D" w14:textId="77777777" w:rsidR="00EC44B6" w:rsidRDefault="00EC44B6" w:rsidP="006B7C62">
            <w:r>
              <w:t>Public Utility Commission of Sri Lanka</w:t>
            </w:r>
          </w:p>
        </w:tc>
      </w:tr>
      <w:tr w:rsidR="00EC44B6" w14:paraId="3AEE2071" w14:textId="77777777" w:rsidTr="006B7C62">
        <w:trPr>
          <w:trHeight w:val="432"/>
        </w:trPr>
        <w:tc>
          <w:tcPr>
            <w:tcW w:w="535" w:type="dxa"/>
            <w:vAlign w:val="center"/>
          </w:tcPr>
          <w:p w14:paraId="28F2FDB5" w14:textId="3CC8D4BE" w:rsidR="00EC44B6" w:rsidRDefault="00AA5C47" w:rsidP="006B7C62">
            <w:pPr>
              <w:jc w:val="center"/>
            </w:pPr>
            <w:r>
              <w:t>12</w:t>
            </w:r>
          </w:p>
        </w:tc>
        <w:tc>
          <w:tcPr>
            <w:tcW w:w="2610" w:type="dxa"/>
            <w:vAlign w:val="center"/>
          </w:tcPr>
          <w:p w14:paraId="0CFBD9AE" w14:textId="77777777" w:rsidR="00EC44B6" w:rsidRPr="007C69D0" w:rsidRDefault="00EC44B6" w:rsidP="006B7C62">
            <w:r w:rsidRPr="007C69D0">
              <w:t>A K.  Samarasinghe</w:t>
            </w:r>
          </w:p>
        </w:tc>
        <w:tc>
          <w:tcPr>
            <w:tcW w:w="2790" w:type="dxa"/>
            <w:vAlign w:val="center"/>
          </w:tcPr>
          <w:p w14:paraId="34DAA248" w14:textId="77777777" w:rsidR="00EC44B6" w:rsidRDefault="00EC44B6" w:rsidP="006B7C62">
            <w:r w:rsidRPr="00405C6F">
              <w:t>General Manager</w:t>
            </w:r>
          </w:p>
        </w:tc>
        <w:tc>
          <w:tcPr>
            <w:tcW w:w="3082" w:type="dxa"/>
            <w:vAlign w:val="center"/>
          </w:tcPr>
          <w:p w14:paraId="4290753B" w14:textId="77777777" w:rsidR="00EC44B6" w:rsidRDefault="00EC44B6" w:rsidP="006B7C62">
            <w:r>
              <w:t>Ceylon Electricity Board</w:t>
            </w:r>
          </w:p>
        </w:tc>
      </w:tr>
      <w:tr w:rsidR="00EC44B6" w14:paraId="7B4DB413" w14:textId="77777777" w:rsidTr="006B7C62">
        <w:trPr>
          <w:trHeight w:val="432"/>
        </w:trPr>
        <w:tc>
          <w:tcPr>
            <w:tcW w:w="535" w:type="dxa"/>
            <w:vAlign w:val="center"/>
          </w:tcPr>
          <w:p w14:paraId="5C5F57E1" w14:textId="473E5A8F" w:rsidR="00EC44B6" w:rsidRDefault="00AA5C47" w:rsidP="006B7C62">
            <w:pPr>
              <w:jc w:val="center"/>
            </w:pPr>
            <w:r>
              <w:t>13</w:t>
            </w:r>
          </w:p>
        </w:tc>
        <w:tc>
          <w:tcPr>
            <w:tcW w:w="2610" w:type="dxa"/>
            <w:vAlign w:val="center"/>
          </w:tcPr>
          <w:p w14:paraId="50BB41DB" w14:textId="77777777" w:rsidR="00EC44B6" w:rsidRDefault="00EC44B6" w:rsidP="006B7C62">
            <w:proofErr w:type="spellStart"/>
            <w:r w:rsidRPr="00D6430B">
              <w:t>Kavan</w:t>
            </w:r>
            <w:proofErr w:type="spellEnd"/>
            <w:r w:rsidRPr="00D6430B">
              <w:t xml:space="preserve"> Ratnayake</w:t>
            </w:r>
          </w:p>
        </w:tc>
        <w:tc>
          <w:tcPr>
            <w:tcW w:w="2790" w:type="dxa"/>
            <w:vAlign w:val="center"/>
          </w:tcPr>
          <w:p w14:paraId="3ADA56B6" w14:textId="77777777" w:rsidR="00EC44B6" w:rsidRDefault="00EC44B6" w:rsidP="006B7C62">
            <w:r>
              <w:t>Chairman</w:t>
            </w:r>
          </w:p>
        </w:tc>
        <w:tc>
          <w:tcPr>
            <w:tcW w:w="3082" w:type="dxa"/>
            <w:vMerge w:val="restart"/>
            <w:vAlign w:val="center"/>
          </w:tcPr>
          <w:p w14:paraId="653D4A06" w14:textId="77777777" w:rsidR="00EC44B6" w:rsidRDefault="00EC44B6" w:rsidP="006B7C62">
            <w:r>
              <w:t>Sri Lanka Tourism Development Authority</w:t>
            </w:r>
          </w:p>
        </w:tc>
      </w:tr>
      <w:tr w:rsidR="00EC44B6" w14:paraId="0574562F" w14:textId="77777777" w:rsidTr="006B7C62">
        <w:trPr>
          <w:trHeight w:val="432"/>
        </w:trPr>
        <w:tc>
          <w:tcPr>
            <w:tcW w:w="535" w:type="dxa"/>
            <w:tcBorders>
              <w:bottom w:val="single" w:sz="4" w:space="0" w:color="auto"/>
            </w:tcBorders>
            <w:vAlign w:val="center"/>
          </w:tcPr>
          <w:p w14:paraId="6F022C51" w14:textId="2AD79455" w:rsidR="00EC44B6" w:rsidRDefault="00AA5C47" w:rsidP="006B7C62">
            <w:pPr>
              <w:jc w:val="center"/>
            </w:pPr>
            <w:r>
              <w:t>14</w:t>
            </w:r>
          </w:p>
        </w:tc>
        <w:tc>
          <w:tcPr>
            <w:tcW w:w="2610" w:type="dxa"/>
            <w:tcBorders>
              <w:bottom w:val="single" w:sz="4" w:space="0" w:color="auto"/>
            </w:tcBorders>
            <w:vAlign w:val="center"/>
          </w:tcPr>
          <w:p w14:paraId="416B2386" w14:textId="77777777" w:rsidR="00EC44B6" w:rsidRDefault="00EC44B6" w:rsidP="006B7C62">
            <w:r w:rsidRPr="00D6430B">
              <w:t>Upali Ratnayake</w:t>
            </w:r>
          </w:p>
        </w:tc>
        <w:tc>
          <w:tcPr>
            <w:tcW w:w="2790" w:type="dxa"/>
            <w:tcBorders>
              <w:bottom w:val="single" w:sz="4" w:space="0" w:color="auto"/>
            </w:tcBorders>
            <w:vAlign w:val="center"/>
          </w:tcPr>
          <w:p w14:paraId="463EAE83" w14:textId="77777777" w:rsidR="00EC44B6" w:rsidRDefault="00EC44B6" w:rsidP="006B7C62">
            <w:r>
              <w:t>Director General</w:t>
            </w:r>
          </w:p>
        </w:tc>
        <w:tc>
          <w:tcPr>
            <w:tcW w:w="3082" w:type="dxa"/>
            <w:vMerge/>
            <w:tcBorders>
              <w:bottom w:val="single" w:sz="4" w:space="0" w:color="auto"/>
            </w:tcBorders>
            <w:vAlign w:val="center"/>
          </w:tcPr>
          <w:p w14:paraId="6DB9A177" w14:textId="77777777" w:rsidR="00EC44B6" w:rsidRDefault="00EC44B6" w:rsidP="006B7C62"/>
        </w:tc>
      </w:tr>
      <w:tr w:rsidR="00EC44B6" w14:paraId="37A1B275" w14:textId="77777777" w:rsidTr="006B7C62">
        <w:trPr>
          <w:trHeight w:val="432"/>
        </w:trPr>
        <w:tc>
          <w:tcPr>
            <w:tcW w:w="535" w:type="dxa"/>
            <w:tcBorders>
              <w:top w:val="single" w:sz="4" w:space="0" w:color="auto"/>
              <w:bottom w:val="single" w:sz="4" w:space="0" w:color="auto"/>
            </w:tcBorders>
            <w:vAlign w:val="center"/>
          </w:tcPr>
          <w:p w14:paraId="5B1AF79A" w14:textId="7675DF91" w:rsidR="00EC44B6" w:rsidRDefault="00AA5C47" w:rsidP="006B7C62">
            <w:pPr>
              <w:jc w:val="center"/>
            </w:pPr>
            <w:r>
              <w:t>15</w:t>
            </w:r>
          </w:p>
        </w:tc>
        <w:tc>
          <w:tcPr>
            <w:tcW w:w="2610" w:type="dxa"/>
            <w:tcBorders>
              <w:top w:val="single" w:sz="4" w:space="0" w:color="auto"/>
              <w:bottom w:val="single" w:sz="4" w:space="0" w:color="auto"/>
            </w:tcBorders>
            <w:vAlign w:val="center"/>
          </w:tcPr>
          <w:p w14:paraId="3499C76E" w14:textId="77777777" w:rsidR="00EC44B6" w:rsidRDefault="00EC44B6" w:rsidP="006B7C62">
            <w:proofErr w:type="spellStart"/>
            <w:r w:rsidRPr="005B7ED5">
              <w:t>Saman</w:t>
            </w:r>
            <w:proofErr w:type="spellEnd"/>
            <w:r w:rsidRPr="005B7ED5">
              <w:t xml:space="preserve"> Jayasinghe</w:t>
            </w:r>
          </w:p>
        </w:tc>
        <w:tc>
          <w:tcPr>
            <w:tcW w:w="2790" w:type="dxa"/>
            <w:tcBorders>
              <w:top w:val="single" w:sz="4" w:space="0" w:color="auto"/>
              <w:bottom w:val="single" w:sz="4" w:space="0" w:color="auto"/>
            </w:tcBorders>
            <w:vAlign w:val="center"/>
          </w:tcPr>
          <w:p w14:paraId="0A84A3CD" w14:textId="77777777" w:rsidR="00EC44B6" w:rsidRDefault="00EC44B6" w:rsidP="006B7C62">
            <w:r>
              <w:t xml:space="preserve">Former </w:t>
            </w:r>
            <w:r w:rsidRPr="005B7ED5">
              <w:t>General Manager</w:t>
            </w:r>
          </w:p>
        </w:tc>
        <w:tc>
          <w:tcPr>
            <w:tcW w:w="3082" w:type="dxa"/>
            <w:tcBorders>
              <w:top w:val="single" w:sz="4" w:space="0" w:color="auto"/>
              <w:bottom w:val="single" w:sz="4" w:space="0" w:color="auto"/>
            </w:tcBorders>
            <w:vAlign w:val="center"/>
          </w:tcPr>
          <w:p w14:paraId="1D8CA4F9" w14:textId="77777777" w:rsidR="00EC44B6" w:rsidRDefault="00EC44B6" w:rsidP="006B7C62">
            <w:r w:rsidRPr="005B7ED5">
              <w:t>Development Lotteries Board</w:t>
            </w:r>
          </w:p>
        </w:tc>
      </w:tr>
    </w:tbl>
    <w:p w14:paraId="51480FB7" w14:textId="77777777" w:rsidR="00EC44B6" w:rsidRDefault="00EC44B6" w:rsidP="00EC44B6"/>
    <w:p w14:paraId="559CABF0" w14:textId="77777777" w:rsidR="00EC44B6" w:rsidRDefault="00EC44B6" w:rsidP="00440AC3"/>
    <w:p w14:paraId="767CF651" w14:textId="77777777" w:rsidR="00EC44B6" w:rsidRDefault="00EC44B6" w:rsidP="00440AC3"/>
    <w:p w14:paraId="3302835A" w14:textId="77777777" w:rsidR="00EC44B6" w:rsidRDefault="00EC44B6" w:rsidP="00440AC3"/>
    <w:p w14:paraId="67CF4C6A" w14:textId="77777777" w:rsidR="00440AC3" w:rsidRPr="000A6273" w:rsidRDefault="00440AC3" w:rsidP="00440AC3"/>
    <w:p w14:paraId="6A53C70B" w14:textId="77777777" w:rsidR="00440AC3" w:rsidRPr="007B0C63" w:rsidRDefault="00440AC3" w:rsidP="007B0C63"/>
    <w:sectPr w:rsidR="00440AC3" w:rsidRPr="007B0C63" w:rsidSect="0084344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F35B5" w14:textId="77777777" w:rsidR="00A308F5" w:rsidRDefault="00A308F5" w:rsidP="00CA2F34">
      <w:pPr>
        <w:spacing w:after="0" w:line="240" w:lineRule="auto"/>
      </w:pPr>
      <w:r>
        <w:separator/>
      </w:r>
    </w:p>
  </w:endnote>
  <w:endnote w:type="continuationSeparator" w:id="0">
    <w:p w14:paraId="661836C9" w14:textId="77777777" w:rsidR="00A308F5" w:rsidRDefault="00A308F5" w:rsidP="00CA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536725"/>
      <w:docPartObj>
        <w:docPartGallery w:val="Page Numbers (Bottom of Page)"/>
        <w:docPartUnique/>
      </w:docPartObj>
    </w:sdtPr>
    <w:sdtEndPr>
      <w:rPr>
        <w:noProof/>
      </w:rPr>
    </w:sdtEndPr>
    <w:sdtContent>
      <w:p w14:paraId="4B9553B2" w14:textId="77777777" w:rsidR="00791098" w:rsidRDefault="00791098">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14:paraId="3AB8B525" w14:textId="77777777" w:rsidR="00791098" w:rsidRDefault="00791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7EC18" w14:textId="77777777" w:rsidR="00A308F5" w:rsidRDefault="00A308F5" w:rsidP="00CA2F34">
      <w:pPr>
        <w:spacing w:after="0" w:line="240" w:lineRule="auto"/>
      </w:pPr>
      <w:r>
        <w:separator/>
      </w:r>
    </w:p>
  </w:footnote>
  <w:footnote w:type="continuationSeparator" w:id="0">
    <w:p w14:paraId="15EFF8C6" w14:textId="77777777" w:rsidR="00A308F5" w:rsidRDefault="00A308F5" w:rsidP="00CA2F34">
      <w:pPr>
        <w:spacing w:after="0" w:line="240" w:lineRule="auto"/>
      </w:pPr>
      <w:r>
        <w:continuationSeparator/>
      </w:r>
    </w:p>
  </w:footnote>
  <w:footnote w:id="1">
    <w:p w14:paraId="14811DB3" w14:textId="3674AB7C" w:rsidR="00791098" w:rsidRDefault="00791098">
      <w:pPr>
        <w:pStyle w:val="FootnoteText"/>
      </w:pPr>
      <w:r>
        <w:rPr>
          <w:rStyle w:val="FootnoteReference"/>
        </w:rPr>
        <w:footnoteRef/>
      </w:r>
      <w:r>
        <w:t xml:space="preserve"> Recommendations for Eco-Labelling Platform for Sri Lanka, Senaweera and Parasnis (2018). </w:t>
      </w:r>
      <w:hyperlink r:id="rId1" w:history="1">
        <w:r w:rsidRPr="00A67C80">
          <w:rPr>
            <w:color w:val="0000FF"/>
            <w:sz w:val="22"/>
            <w:szCs w:val="22"/>
            <w:u w:val="single"/>
          </w:rPr>
          <w:t>http://www.scp.mmde.gov.lk/resources/5c3ca9ad1004923169.pdf</w:t>
        </w:r>
      </w:hyperlink>
    </w:p>
  </w:footnote>
  <w:footnote w:id="2">
    <w:p w14:paraId="6BF1101F" w14:textId="3DFAEA7C" w:rsidR="00791098" w:rsidRDefault="00791098">
      <w:pPr>
        <w:pStyle w:val="FootnoteText"/>
      </w:pPr>
      <w:r>
        <w:rPr>
          <w:rStyle w:val="FootnoteReference"/>
        </w:rPr>
        <w:footnoteRef/>
      </w:r>
      <w:r>
        <w:t xml:space="preserve">Please refer to following links for details on some CSR activities, Sri Lankan private sector is engaged with.  </w:t>
      </w:r>
      <w:hyperlink r:id="rId2" w:history="1">
        <w:r w:rsidRPr="00A67C80">
          <w:rPr>
            <w:color w:val="0000FF"/>
            <w:sz w:val="22"/>
            <w:szCs w:val="22"/>
            <w:u w:val="single"/>
          </w:rPr>
          <w:t>http://www.jetwinghotels.com/sustainability/biodiversity/</w:t>
        </w:r>
      </w:hyperlink>
      <w:r>
        <w:rPr>
          <w:sz w:val="22"/>
          <w:szCs w:val="22"/>
        </w:rPr>
        <w:t xml:space="preserve">; </w:t>
      </w:r>
      <w:hyperlink r:id="rId3" w:history="1">
        <w:r w:rsidRPr="000F7D14">
          <w:rPr>
            <w:color w:val="0000FF"/>
            <w:sz w:val="22"/>
            <w:szCs w:val="22"/>
            <w:u w:val="single"/>
          </w:rPr>
          <w:t>https://www.dilmahconservation.org/</w:t>
        </w:r>
      </w:hyperlink>
      <w:r>
        <w:rPr>
          <w:sz w:val="22"/>
          <w:szCs w:val="22"/>
        </w:rPr>
        <w:t xml:space="preserve"> ; </w:t>
      </w:r>
      <w:hyperlink r:id="rId4" w:history="1">
        <w:r w:rsidRPr="00D84FF4">
          <w:rPr>
            <w:color w:val="0000FF"/>
            <w:sz w:val="22"/>
            <w:szCs w:val="22"/>
            <w:u w:val="single"/>
          </w:rPr>
          <w:t>https://www.nationstrust.com/about/responsible-banking/timeline-of-projects</w:t>
        </w:r>
      </w:hyperlink>
    </w:p>
  </w:footnote>
  <w:footnote w:id="3">
    <w:p w14:paraId="7D0D3526" w14:textId="77777777" w:rsidR="00791098" w:rsidRPr="002A7B25" w:rsidRDefault="00791098" w:rsidP="008973DD">
      <w:pPr>
        <w:pStyle w:val="FootnoteText"/>
        <w:rPr>
          <w:rFonts w:ascii="Gill Sans MT" w:hAnsi="Gill Sans MT"/>
          <w:sz w:val="18"/>
          <w:szCs w:val="18"/>
        </w:rPr>
      </w:pPr>
      <w:r w:rsidRPr="004325A7">
        <w:rPr>
          <w:rStyle w:val="FootnoteReference"/>
          <w:rFonts w:ascii="Gill Sans MT" w:hAnsi="Gill Sans MT"/>
          <w:color w:val="008080"/>
          <w:sz w:val="18"/>
          <w:szCs w:val="18"/>
        </w:rPr>
        <w:footnoteRef/>
      </w:r>
      <w:r w:rsidRPr="004325A7">
        <w:rPr>
          <w:rFonts w:ascii="Trebuchet MS" w:hAnsi="Trebuchet MS"/>
          <w:sz w:val="18"/>
          <w:szCs w:val="18"/>
        </w:rPr>
        <w:t xml:space="preserve"> </w:t>
      </w:r>
      <w:r w:rsidRPr="00262AAD">
        <w:rPr>
          <w:rFonts w:ascii="Gill Sans MT" w:hAnsi="Gill Sans MT"/>
          <w:color w:val="333333"/>
          <w:sz w:val="18"/>
          <w:szCs w:val="18"/>
        </w:rPr>
        <w:t>E</w:t>
      </w:r>
      <w:r w:rsidRPr="00262AAD">
        <w:rPr>
          <w:rFonts w:ascii="Gill Sans MT" w:hAnsi="Gill Sans MT"/>
          <w:color w:val="333333"/>
          <w:sz w:val="18"/>
          <w:szCs w:val="18"/>
          <w:lang w:bidi="si-LK"/>
        </w:rPr>
        <w:t>nvironment Conservation Levy Account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A8A"/>
    <w:multiLevelType w:val="hybridMultilevel"/>
    <w:tmpl w:val="01E4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385D"/>
    <w:multiLevelType w:val="hybridMultilevel"/>
    <w:tmpl w:val="FEBA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56EAA"/>
    <w:multiLevelType w:val="hybridMultilevel"/>
    <w:tmpl w:val="9708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E1E0C"/>
    <w:multiLevelType w:val="hybridMultilevel"/>
    <w:tmpl w:val="F796C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922627"/>
    <w:multiLevelType w:val="hybridMultilevel"/>
    <w:tmpl w:val="C4EE6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1E6E"/>
    <w:multiLevelType w:val="hybridMultilevel"/>
    <w:tmpl w:val="475A9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D0AFD"/>
    <w:multiLevelType w:val="hybridMultilevel"/>
    <w:tmpl w:val="868C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15FF3"/>
    <w:multiLevelType w:val="hybridMultilevel"/>
    <w:tmpl w:val="58508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A40C9"/>
    <w:multiLevelType w:val="hybridMultilevel"/>
    <w:tmpl w:val="443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A6F11"/>
    <w:multiLevelType w:val="hybridMultilevel"/>
    <w:tmpl w:val="448AA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F3A90"/>
    <w:multiLevelType w:val="hybridMultilevel"/>
    <w:tmpl w:val="D6A0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85E3A"/>
    <w:multiLevelType w:val="hybridMultilevel"/>
    <w:tmpl w:val="2BB6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5084D"/>
    <w:multiLevelType w:val="hybridMultilevel"/>
    <w:tmpl w:val="68DE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F2D8A"/>
    <w:multiLevelType w:val="hybridMultilevel"/>
    <w:tmpl w:val="9816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11552"/>
    <w:multiLevelType w:val="hybridMultilevel"/>
    <w:tmpl w:val="5BE2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13F01"/>
    <w:multiLevelType w:val="hybridMultilevel"/>
    <w:tmpl w:val="B502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0688B"/>
    <w:multiLevelType w:val="hybridMultilevel"/>
    <w:tmpl w:val="C46A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26F32"/>
    <w:multiLevelType w:val="hybridMultilevel"/>
    <w:tmpl w:val="3B7A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E0415"/>
    <w:multiLevelType w:val="hybridMultilevel"/>
    <w:tmpl w:val="BD54BE04"/>
    <w:lvl w:ilvl="0" w:tplc="12A4A4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B0AD3"/>
    <w:multiLevelType w:val="hybridMultilevel"/>
    <w:tmpl w:val="EE5C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019B8"/>
    <w:multiLevelType w:val="hybridMultilevel"/>
    <w:tmpl w:val="CCD4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64B9E"/>
    <w:multiLevelType w:val="hybridMultilevel"/>
    <w:tmpl w:val="5B24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80A89"/>
    <w:multiLevelType w:val="hybridMultilevel"/>
    <w:tmpl w:val="B922E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CB6738"/>
    <w:multiLevelType w:val="hybridMultilevel"/>
    <w:tmpl w:val="39E4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1088F"/>
    <w:multiLevelType w:val="hybridMultilevel"/>
    <w:tmpl w:val="E754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E5C93"/>
    <w:multiLevelType w:val="hybridMultilevel"/>
    <w:tmpl w:val="8A04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22F2A"/>
    <w:multiLevelType w:val="hybridMultilevel"/>
    <w:tmpl w:val="2D9A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A5CD7"/>
    <w:multiLevelType w:val="hybridMultilevel"/>
    <w:tmpl w:val="518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A2C76"/>
    <w:multiLevelType w:val="hybridMultilevel"/>
    <w:tmpl w:val="B118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817D6"/>
    <w:multiLevelType w:val="hybridMultilevel"/>
    <w:tmpl w:val="2DD0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F1068"/>
    <w:multiLevelType w:val="hybridMultilevel"/>
    <w:tmpl w:val="44CA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55F7C"/>
    <w:multiLevelType w:val="hybridMultilevel"/>
    <w:tmpl w:val="C3C036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E106AD"/>
    <w:multiLevelType w:val="hybridMultilevel"/>
    <w:tmpl w:val="9CE4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64C1A"/>
    <w:multiLevelType w:val="hybridMultilevel"/>
    <w:tmpl w:val="6EAE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33"/>
  </w:num>
  <w:num w:numId="4">
    <w:abstractNumId w:val="9"/>
  </w:num>
  <w:num w:numId="5">
    <w:abstractNumId w:val="16"/>
  </w:num>
  <w:num w:numId="6">
    <w:abstractNumId w:val="4"/>
  </w:num>
  <w:num w:numId="7">
    <w:abstractNumId w:val="0"/>
  </w:num>
  <w:num w:numId="8">
    <w:abstractNumId w:val="5"/>
  </w:num>
  <w:num w:numId="9">
    <w:abstractNumId w:val="17"/>
  </w:num>
  <w:num w:numId="10">
    <w:abstractNumId w:val="7"/>
  </w:num>
  <w:num w:numId="11">
    <w:abstractNumId w:val="6"/>
  </w:num>
  <w:num w:numId="12">
    <w:abstractNumId w:val="32"/>
  </w:num>
  <w:num w:numId="13">
    <w:abstractNumId w:val="24"/>
  </w:num>
  <w:num w:numId="14">
    <w:abstractNumId w:val="25"/>
  </w:num>
  <w:num w:numId="15">
    <w:abstractNumId w:val="15"/>
  </w:num>
  <w:num w:numId="16">
    <w:abstractNumId w:val="12"/>
  </w:num>
  <w:num w:numId="17">
    <w:abstractNumId w:val="23"/>
  </w:num>
  <w:num w:numId="18">
    <w:abstractNumId w:val="26"/>
  </w:num>
  <w:num w:numId="19">
    <w:abstractNumId w:val="29"/>
  </w:num>
  <w:num w:numId="20">
    <w:abstractNumId w:val="30"/>
  </w:num>
  <w:num w:numId="21">
    <w:abstractNumId w:val="27"/>
  </w:num>
  <w:num w:numId="22">
    <w:abstractNumId w:val="8"/>
  </w:num>
  <w:num w:numId="23">
    <w:abstractNumId w:val="20"/>
  </w:num>
  <w:num w:numId="24">
    <w:abstractNumId w:val="13"/>
  </w:num>
  <w:num w:numId="25">
    <w:abstractNumId w:val="28"/>
  </w:num>
  <w:num w:numId="26">
    <w:abstractNumId w:val="10"/>
  </w:num>
  <w:num w:numId="27">
    <w:abstractNumId w:val="14"/>
  </w:num>
  <w:num w:numId="28">
    <w:abstractNumId w:val="19"/>
  </w:num>
  <w:num w:numId="29">
    <w:abstractNumId w:val="11"/>
  </w:num>
  <w:num w:numId="30">
    <w:abstractNumId w:val="2"/>
  </w:num>
  <w:num w:numId="31">
    <w:abstractNumId w:val="18"/>
  </w:num>
  <w:num w:numId="32">
    <w:abstractNumId w:val="31"/>
  </w:num>
  <w:num w:numId="33">
    <w:abstractNumId w:val="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8B"/>
    <w:rsid w:val="000007F2"/>
    <w:rsid w:val="00000CD4"/>
    <w:rsid w:val="00002C7A"/>
    <w:rsid w:val="00003F22"/>
    <w:rsid w:val="00005EFC"/>
    <w:rsid w:val="000062FC"/>
    <w:rsid w:val="0000671B"/>
    <w:rsid w:val="00007E87"/>
    <w:rsid w:val="0001001D"/>
    <w:rsid w:val="0001021C"/>
    <w:rsid w:val="00010D8A"/>
    <w:rsid w:val="00011132"/>
    <w:rsid w:val="000118CC"/>
    <w:rsid w:val="00011BDB"/>
    <w:rsid w:val="000128DC"/>
    <w:rsid w:val="000152EF"/>
    <w:rsid w:val="000155FF"/>
    <w:rsid w:val="00015BE3"/>
    <w:rsid w:val="00015FFC"/>
    <w:rsid w:val="000209E8"/>
    <w:rsid w:val="000264C8"/>
    <w:rsid w:val="00026EBA"/>
    <w:rsid w:val="00027021"/>
    <w:rsid w:val="000277BE"/>
    <w:rsid w:val="00030005"/>
    <w:rsid w:val="00032958"/>
    <w:rsid w:val="0003307E"/>
    <w:rsid w:val="00034B3E"/>
    <w:rsid w:val="00034DB0"/>
    <w:rsid w:val="000368F5"/>
    <w:rsid w:val="000418BC"/>
    <w:rsid w:val="000425CD"/>
    <w:rsid w:val="00042B50"/>
    <w:rsid w:val="0004343B"/>
    <w:rsid w:val="000463CB"/>
    <w:rsid w:val="00047B90"/>
    <w:rsid w:val="00047C33"/>
    <w:rsid w:val="00047C65"/>
    <w:rsid w:val="00050568"/>
    <w:rsid w:val="000524B3"/>
    <w:rsid w:val="00054328"/>
    <w:rsid w:val="000548AB"/>
    <w:rsid w:val="000549B7"/>
    <w:rsid w:val="00055718"/>
    <w:rsid w:val="00060FA8"/>
    <w:rsid w:val="000620FB"/>
    <w:rsid w:val="00062A3C"/>
    <w:rsid w:val="00063608"/>
    <w:rsid w:val="000642B0"/>
    <w:rsid w:val="00064B4A"/>
    <w:rsid w:val="00072EF8"/>
    <w:rsid w:val="0007540C"/>
    <w:rsid w:val="00075A2E"/>
    <w:rsid w:val="0007718E"/>
    <w:rsid w:val="00077A29"/>
    <w:rsid w:val="00080484"/>
    <w:rsid w:val="0008318D"/>
    <w:rsid w:val="00084F5F"/>
    <w:rsid w:val="00085E47"/>
    <w:rsid w:val="00086C7B"/>
    <w:rsid w:val="000903A5"/>
    <w:rsid w:val="000917DD"/>
    <w:rsid w:val="00091894"/>
    <w:rsid w:val="00091E4F"/>
    <w:rsid w:val="000962F8"/>
    <w:rsid w:val="00096769"/>
    <w:rsid w:val="000A2957"/>
    <w:rsid w:val="000A3176"/>
    <w:rsid w:val="000A4C44"/>
    <w:rsid w:val="000B11EB"/>
    <w:rsid w:val="000B3DCC"/>
    <w:rsid w:val="000B6404"/>
    <w:rsid w:val="000B75A3"/>
    <w:rsid w:val="000B7821"/>
    <w:rsid w:val="000C05B5"/>
    <w:rsid w:val="000C1A84"/>
    <w:rsid w:val="000C6E23"/>
    <w:rsid w:val="000C79AC"/>
    <w:rsid w:val="000D00B5"/>
    <w:rsid w:val="000D30EC"/>
    <w:rsid w:val="000D4F48"/>
    <w:rsid w:val="000D59C6"/>
    <w:rsid w:val="000D6922"/>
    <w:rsid w:val="000D7022"/>
    <w:rsid w:val="000D7A7A"/>
    <w:rsid w:val="000D7CAF"/>
    <w:rsid w:val="000E024B"/>
    <w:rsid w:val="000E07DD"/>
    <w:rsid w:val="000E08E4"/>
    <w:rsid w:val="000E289A"/>
    <w:rsid w:val="000E5B00"/>
    <w:rsid w:val="000E72E5"/>
    <w:rsid w:val="000F1351"/>
    <w:rsid w:val="000F1BB2"/>
    <w:rsid w:val="000F303B"/>
    <w:rsid w:val="000F38A0"/>
    <w:rsid w:val="000F4FBF"/>
    <w:rsid w:val="000F53E1"/>
    <w:rsid w:val="000F7D14"/>
    <w:rsid w:val="00103037"/>
    <w:rsid w:val="00103569"/>
    <w:rsid w:val="0010388D"/>
    <w:rsid w:val="00103C37"/>
    <w:rsid w:val="001047B3"/>
    <w:rsid w:val="0010752B"/>
    <w:rsid w:val="001109AD"/>
    <w:rsid w:val="001121F6"/>
    <w:rsid w:val="0011293D"/>
    <w:rsid w:val="00112B71"/>
    <w:rsid w:val="00113B4C"/>
    <w:rsid w:val="00114764"/>
    <w:rsid w:val="00120870"/>
    <w:rsid w:val="00122314"/>
    <w:rsid w:val="001231C4"/>
    <w:rsid w:val="00123437"/>
    <w:rsid w:val="00123B5E"/>
    <w:rsid w:val="0012482F"/>
    <w:rsid w:val="001253EE"/>
    <w:rsid w:val="00125B4F"/>
    <w:rsid w:val="001261C4"/>
    <w:rsid w:val="001265E0"/>
    <w:rsid w:val="00126FA8"/>
    <w:rsid w:val="00127077"/>
    <w:rsid w:val="00131144"/>
    <w:rsid w:val="0013323F"/>
    <w:rsid w:val="00134360"/>
    <w:rsid w:val="00134442"/>
    <w:rsid w:val="00134BA4"/>
    <w:rsid w:val="00136925"/>
    <w:rsid w:val="00136B76"/>
    <w:rsid w:val="00140333"/>
    <w:rsid w:val="001421B3"/>
    <w:rsid w:val="00142621"/>
    <w:rsid w:val="001437FE"/>
    <w:rsid w:val="00143BE4"/>
    <w:rsid w:val="001453C0"/>
    <w:rsid w:val="00145826"/>
    <w:rsid w:val="00145B5D"/>
    <w:rsid w:val="00145C79"/>
    <w:rsid w:val="00146167"/>
    <w:rsid w:val="0014638B"/>
    <w:rsid w:val="001463DB"/>
    <w:rsid w:val="0014670A"/>
    <w:rsid w:val="0014685C"/>
    <w:rsid w:val="00146D0D"/>
    <w:rsid w:val="001472B2"/>
    <w:rsid w:val="00147A6A"/>
    <w:rsid w:val="00150BED"/>
    <w:rsid w:val="00151847"/>
    <w:rsid w:val="00153C1B"/>
    <w:rsid w:val="00155066"/>
    <w:rsid w:val="00155B2A"/>
    <w:rsid w:val="00156485"/>
    <w:rsid w:val="0016002A"/>
    <w:rsid w:val="00163A10"/>
    <w:rsid w:val="00164D49"/>
    <w:rsid w:val="00167AAE"/>
    <w:rsid w:val="0017033E"/>
    <w:rsid w:val="00173A72"/>
    <w:rsid w:val="00173C83"/>
    <w:rsid w:val="00174426"/>
    <w:rsid w:val="00184101"/>
    <w:rsid w:val="00184308"/>
    <w:rsid w:val="00187E29"/>
    <w:rsid w:val="00190724"/>
    <w:rsid w:val="001916F8"/>
    <w:rsid w:val="001920EB"/>
    <w:rsid w:val="00194680"/>
    <w:rsid w:val="001953E6"/>
    <w:rsid w:val="00195910"/>
    <w:rsid w:val="00195EB1"/>
    <w:rsid w:val="00196862"/>
    <w:rsid w:val="001A16D4"/>
    <w:rsid w:val="001A1E06"/>
    <w:rsid w:val="001A6534"/>
    <w:rsid w:val="001A7B5D"/>
    <w:rsid w:val="001B4410"/>
    <w:rsid w:val="001B5FFC"/>
    <w:rsid w:val="001B60F0"/>
    <w:rsid w:val="001B6E7A"/>
    <w:rsid w:val="001B7222"/>
    <w:rsid w:val="001C1173"/>
    <w:rsid w:val="001C1885"/>
    <w:rsid w:val="001C1E11"/>
    <w:rsid w:val="001C2844"/>
    <w:rsid w:val="001C2AED"/>
    <w:rsid w:val="001C3B66"/>
    <w:rsid w:val="001C473E"/>
    <w:rsid w:val="001C6407"/>
    <w:rsid w:val="001D0FCA"/>
    <w:rsid w:val="001D1217"/>
    <w:rsid w:val="001D1533"/>
    <w:rsid w:val="001D17C1"/>
    <w:rsid w:val="001D1A9F"/>
    <w:rsid w:val="001D2898"/>
    <w:rsid w:val="001D2BEB"/>
    <w:rsid w:val="001D2D09"/>
    <w:rsid w:val="001D5995"/>
    <w:rsid w:val="001D64BF"/>
    <w:rsid w:val="001E2003"/>
    <w:rsid w:val="001E2026"/>
    <w:rsid w:val="001E27D5"/>
    <w:rsid w:val="001E3BF0"/>
    <w:rsid w:val="001E4AB9"/>
    <w:rsid w:val="001E5053"/>
    <w:rsid w:val="001E5C34"/>
    <w:rsid w:val="001E5C37"/>
    <w:rsid w:val="001E5F09"/>
    <w:rsid w:val="001E6F91"/>
    <w:rsid w:val="001F20D3"/>
    <w:rsid w:val="001F3FC3"/>
    <w:rsid w:val="00200170"/>
    <w:rsid w:val="00201BDD"/>
    <w:rsid w:val="00201EC3"/>
    <w:rsid w:val="0020239D"/>
    <w:rsid w:val="0020548F"/>
    <w:rsid w:val="002057B5"/>
    <w:rsid w:val="00205B1D"/>
    <w:rsid w:val="00205FF2"/>
    <w:rsid w:val="00206114"/>
    <w:rsid w:val="0020691A"/>
    <w:rsid w:val="00210C29"/>
    <w:rsid w:val="002151DE"/>
    <w:rsid w:val="0021587E"/>
    <w:rsid w:val="00220AA5"/>
    <w:rsid w:val="002211AA"/>
    <w:rsid w:val="0022212C"/>
    <w:rsid w:val="002227D1"/>
    <w:rsid w:val="002229C3"/>
    <w:rsid w:val="00224A5D"/>
    <w:rsid w:val="00227906"/>
    <w:rsid w:val="002313A9"/>
    <w:rsid w:val="00233C4D"/>
    <w:rsid w:val="00235B87"/>
    <w:rsid w:val="002369C1"/>
    <w:rsid w:val="00237F9B"/>
    <w:rsid w:val="00240149"/>
    <w:rsid w:val="00241AC0"/>
    <w:rsid w:val="00243E14"/>
    <w:rsid w:val="00243E20"/>
    <w:rsid w:val="00245646"/>
    <w:rsid w:val="00246372"/>
    <w:rsid w:val="00251386"/>
    <w:rsid w:val="002527E5"/>
    <w:rsid w:val="00253C6F"/>
    <w:rsid w:val="0026221D"/>
    <w:rsid w:val="002653DA"/>
    <w:rsid w:val="00271969"/>
    <w:rsid w:val="00274C14"/>
    <w:rsid w:val="002753AD"/>
    <w:rsid w:val="00277B4C"/>
    <w:rsid w:val="00280C92"/>
    <w:rsid w:val="002827B1"/>
    <w:rsid w:val="00282852"/>
    <w:rsid w:val="00283CC3"/>
    <w:rsid w:val="00285FCA"/>
    <w:rsid w:val="002900AC"/>
    <w:rsid w:val="00290692"/>
    <w:rsid w:val="00290BC0"/>
    <w:rsid w:val="00290BE5"/>
    <w:rsid w:val="00292710"/>
    <w:rsid w:val="00293A26"/>
    <w:rsid w:val="0029604A"/>
    <w:rsid w:val="002A2204"/>
    <w:rsid w:val="002A24F6"/>
    <w:rsid w:val="002A3B0F"/>
    <w:rsid w:val="002A4093"/>
    <w:rsid w:val="002A4800"/>
    <w:rsid w:val="002A5975"/>
    <w:rsid w:val="002A62AC"/>
    <w:rsid w:val="002A688D"/>
    <w:rsid w:val="002A6F5B"/>
    <w:rsid w:val="002A771F"/>
    <w:rsid w:val="002B02C7"/>
    <w:rsid w:val="002B07D7"/>
    <w:rsid w:val="002B208A"/>
    <w:rsid w:val="002B2AEE"/>
    <w:rsid w:val="002B2D0F"/>
    <w:rsid w:val="002B3FF4"/>
    <w:rsid w:val="002B5590"/>
    <w:rsid w:val="002B6747"/>
    <w:rsid w:val="002B78D2"/>
    <w:rsid w:val="002C01ED"/>
    <w:rsid w:val="002C1E92"/>
    <w:rsid w:val="002C2BE3"/>
    <w:rsid w:val="002C4C3C"/>
    <w:rsid w:val="002D0EC4"/>
    <w:rsid w:val="002D1634"/>
    <w:rsid w:val="002D21E5"/>
    <w:rsid w:val="002D624C"/>
    <w:rsid w:val="002D7E80"/>
    <w:rsid w:val="002E1552"/>
    <w:rsid w:val="002E60DC"/>
    <w:rsid w:val="002E687D"/>
    <w:rsid w:val="002E689B"/>
    <w:rsid w:val="002F0B12"/>
    <w:rsid w:val="002F116B"/>
    <w:rsid w:val="002F1720"/>
    <w:rsid w:val="002F1831"/>
    <w:rsid w:val="002F1BF7"/>
    <w:rsid w:val="002F4084"/>
    <w:rsid w:val="002F4622"/>
    <w:rsid w:val="002F579C"/>
    <w:rsid w:val="002F5B1E"/>
    <w:rsid w:val="00300A03"/>
    <w:rsid w:val="00301588"/>
    <w:rsid w:val="003015AD"/>
    <w:rsid w:val="0030226D"/>
    <w:rsid w:val="003041E1"/>
    <w:rsid w:val="00305B51"/>
    <w:rsid w:val="0030726F"/>
    <w:rsid w:val="003075EB"/>
    <w:rsid w:val="00310CF9"/>
    <w:rsid w:val="0031477E"/>
    <w:rsid w:val="00314B2B"/>
    <w:rsid w:val="00314FAE"/>
    <w:rsid w:val="00315042"/>
    <w:rsid w:val="003154F5"/>
    <w:rsid w:val="003155FD"/>
    <w:rsid w:val="00315AFA"/>
    <w:rsid w:val="00317485"/>
    <w:rsid w:val="00320DFD"/>
    <w:rsid w:val="00321255"/>
    <w:rsid w:val="00323776"/>
    <w:rsid w:val="00324052"/>
    <w:rsid w:val="00324765"/>
    <w:rsid w:val="0032677C"/>
    <w:rsid w:val="003274B8"/>
    <w:rsid w:val="0033140F"/>
    <w:rsid w:val="00333608"/>
    <w:rsid w:val="00335D85"/>
    <w:rsid w:val="00336F67"/>
    <w:rsid w:val="00337161"/>
    <w:rsid w:val="003375B0"/>
    <w:rsid w:val="0034096C"/>
    <w:rsid w:val="003415A7"/>
    <w:rsid w:val="00342F4B"/>
    <w:rsid w:val="0034312E"/>
    <w:rsid w:val="00343221"/>
    <w:rsid w:val="00343259"/>
    <w:rsid w:val="00345BEE"/>
    <w:rsid w:val="00350C69"/>
    <w:rsid w:val="003513AE"/>
    <w:rsid w:val="003557D4"/>
    <w:rsid w:val="00356245"/>
    <w:rsid w:val="00356B85"/>
    <w:rsid w:val="003615AC"/>
    <w:rsid w:val="00363000"/>
    <w:rsid w:val="00364472"/>
    <w:rsid w:val="00364CD5"/>
    <w:rsid w:val="003662B5"/>
    <w:rsid w:val="003670BA"/>
    <w:rsid w:val="003679CE"/>
    <w:rsid w:val="003704FD"/>
    <w:rsid w:val="0037083C"/>
    <w:rsid w:val="003713B8"/>
    <w:rsid w:val="00372B39"/>
    <w:rsid w:val="0037649F"/>
    <w:rsid w:val="0038010D"/>
    <w:rsid w:val="003819F4"/>
    <w:rsid w:val="003841A8"/>
    <w:rsid w:val="00384AA5"/>
    <w:rsid w:val="00386D26"/>
    <w:rsid w:val="0039121C"/>
    <w:rsid w:val="00391883"/>
    <w:rsid w:val="0039327F"/>
    <w:rsid w:val="00393BFA"/>
    <w:rsid w:val="00394556"/>
    <w:rsid w:val="00394A1D"/>
    <w:rsid w:val="00396F55"/>
    <w:rsid w:val="0039711A"/>
    <w:rsid w:val="003A3634"/>
    <w:rsid w:val="003A37E6"/>
    <w:rsid w:val="003A4C93"/>
    <w:rsid w:val="003A5E8A"/>
    <w:rsid w:val="003B0913"/>
    <w:rsid w:val="003B0BC5"/>
    <w:rsid w:val="003B196E"/>
    <w:rsid w:val="003B50BA"/>
    <w:rsid w:val="003B5702"/>
    <w:rsid w:val="003C1649"/>
    <w:rsid w:val="003C1660"/>
    <w:rsid w:val="003C2345"/>
    <w:rsid w:val="003C6765"/>
    <w:rsid w:val="003C69AB"/>
    <w:rsid w:val="003D1D29"/>
    <w:rsid w:val="003D2037"/>
    <w:rsid w:val="003D5715"/>
    <w:rsid w:val="003D6CF2"/>
    <w:rsid w:val="003E03F1"/>
    <w:rsid w:val="003E0549"/>
    <w:rsid w:val="003E1477"/>
    <w:rsid w:val="003E2CB8"/>
    <w:rsid w:val="003E52F0"/>
    <w:rsid w:val="003E5EEA"/>
    <w:rsid w:val="003E7835"/>
    <w:rsid w:val="003F5763"/>
    <w:rsid w:val="003F70DA"/>
    <w:rsid w:val="00402159"/>
    <w:rsid w:val="004038A4"/>
    <w:rsid w:val="00405469"/>
    <w:rsid w:val="004067BF"/>
    <w:rsid w:val="004074D1"/>
    <w:rsid w:val="00407BC6"/>
    <w:rsid w:val="00412C59"/>
    <w:rsid w:val="0041310D"/>
    <w:rsid w:val="00413D8B"/>
    <w:rsid w:val="004171B6"/>
    <w:rsid w:val="00421DF1"/>
    <w:rsid w:val="00422C2C"/>
    <w:rsid w:val="00423CAE"/>
    <w:rsid w:val="00424037"/>
    <w:rsid w:val="00424448"/>
    <w:rsid w:val="004253A9"/>
    <w:rsid w:val="00425BC6"/>
    <w:rsid w:val="00426CE2"/>
    <w:rsid w:val="0042780D"/>
    <w:rsid w:val="00430993"/>
    <w:rsid w:val="00432655"/>
    <w:rsid w:val="00435A4C"/>
    <w:rsid w:val="00435BC1"/>
    <w:rsid w:val="00437B03"/>
    <w:rsid w:val="00440AC3"/>
    <w:rsid w:val="00441E24"/>
    <w:rsid w:val="00442966"/>
    <w:rsid w:val="00443681"/>
    <w:rsid w:val="0044410D"/>
    <w:rsid w:val="004454A3"/>
    <w:rsid w:val="004461C7"/>
    <w:rsid w:val="00447468"/>
    <w:rsid w:val="00451049"/>
    <w:rsid w:val="004515A6"/>
    <w:rsid w:val="00451DB9"/>
    <w:rsid w:val="004529D8"/>
    <w:rsid w:val="0045305E"/>
    <w:rsid w:val="00453CD3"/>
    <w:rsid w:val="00453DF8"/>
    <w:rsid w:val="004548FA"/>
    <w:rsid w:val="00457683"/>
    <w:rsid w:val="00460B8C"/>
    <w:rsid w:val="00461666"/>
    <w:rsid w:val="00462085"/>
    <w:rsid w:val="00462663"/>
    <w:rsid w:val="004641EB"/>
    <w:rsid w:val="004644D8"/>
    <w:rsid w:val="0046510D"/>
    <w:rsid w:val="00466DD7"/>
    <w:rsid w:val="00470DAA"/>
    <w:rsid w:val="004721C8"/>
    <w:rsid w:val="00480178"/>
    <w:rsid w:val="004829C8"/>
    <w:rsid w:val="00485113"/>
    <w:rsid w:val="00486B73"/>
    <w:rsid w:val="00486DD2"/>
    <w:rsid w:val="00487232"/>
    <w:rsid w:val="00490B13"/>
    <w:rsid w:val="00493E35"/>
    <w:rsid w:val="004A08F7"/>
    <w:rsid w:val="004A0F13"/>
    <w:rsid w:val="004A125F"/>
    <w:rsid w:val="004A23A6"/>
    <w:rsid w:val="004A3ADB"/>
    <w:rsid w:val="004A513F"/>
    <w:rsid w:val="004A58FC"/>
    <w:rsid w:val="004A791B"/>
    <w:rsid w:val="004A7C35"/>
    <w:rsid w:val="004B00A2"/>
    <w:rsid w:val="004B2B01"/>
    <w:rsid w:val="004B2CE2"/>
    <w:rsid w:val="004B338B"/>
    <w:rsid w:val="004B383C"/>
    <w:rsid w:val="004B5D2E"/>
    <w:rsid w:val="004C12B7"/>
    <w:rsid w:val="004C39A3"/>
    <w:rsid w:val="004C3B87"/>
    <w:rsid w:val="004C4B2F"/>
    <w:rsid w:val="004C6228"/>
    <w:rsid w:val="004D1C17"/>
    <w:rsid w:val="004D26C1"/>
    <w:rsid w:val="004D2A5B"/>
    <w:rsid w:val="004D2F14"/>
    <w:rsid w:val="004D30F6"/>
    <w:rsid w:val="004D355E"/>
    <w:rsid w:val="004D4343"/>
    <w:rsid w:val="004D4F7B"/>
    <w:rsid w:val="004D7FC3"/>
    <w:rsid w:val="004E56F6"/>
    <w:rsid w:val="004E6F80"/>
    <w:rsid w:val="004E7A44"/>
    <w:rsid w:val="004F1BEE"/>
    <w:rsid w:val="004F2294"/>
    <w:rsid w:val="004F2A84"/>
    <w:rsid w:val="004F2E6C"/>
    <w:rsid w:val="004F4BCC"/>
    <w:rsid w:val="004F654B"/>
    <w:rsid w:val="00502379"/>
    <w:rsid w:val="00503398"/>
    <w:rsid w:val="005055F2"/>
    <w:rsid w:val="00506A28"/>
    <w:rsid w:val="0050788D"/>
    <w:rsid w:val="00507907"/>
    <w:rsid w:val="00510087"/>
    <w:rsid w:val="00511536"/>
    <w:rsid w:val="005139F3"/>
    <w:rsid w:val="005142DB"/>
    <w:rsid w:val="0051470B"/>
    <w:rsid w:val="00514C2D"/>
    <w:rsid w:val="005157CA"/>
    <w:rsid w:val="00521664"/>
    <w:rsid w:val="005220DB"/>
    <w:rsid w:val="005224DB"/>
    <w:rsid w:val="005233EA"/>
    <w:rsid w:val="00523A70"/>
    <w:rsid w:val="00524515"/>
    <w:rsid w:val="00524708"/>
    <w:rsid w:val="00524A7F"/>
    <w:rsid w:val="00525E05"/>
    <w:rsid w:val="0052772A"/>
    <w:rsid w:val="00531025"/>
    <w:rsid w:val="0053273E"/>
    <w:rsid w:val="00534483"/>
    <w:rsid w:val="00536C34"/>
    <w:rsid w:val="00537B53"/>
    <w:rsid w:val="00540777"/>
    <w:rsid w:val="00540DE2"/>
    <w:rsid w:val="0054130A"/>
    <w:rsid w:val="00542D4D"/>
    <w:rsid w:val="00542E70"/>
    <w:rsid w:val="00542F26"/>
    <w:rsid w:val="00543502"/>
    <w:rsid w:val="0054402D"/>
    <w:rsid w:val="00544744"/>
    <w:rsid w:val="005460B0"/>
    <w:rsid w:val="0054661D"/>
    <w:rsid w:val="005470BE"/>
    <w:rsid w:val="005470F1"/>
    <w:rsid w:val="005471FD"/>
    <w:rsid w:val="00547AAB"/>
    <w:rsid w:val="005514DA"/>
    <w:rsid w:val="00551F5E"/>
    <w:rsid w:val="00552259"/>
    <w:rsid w:val="005527E5"/>
    <w:rsid w:val="00553887"/>
    <w:rsid w:val="0055596E"/>
    <w:rsid w:val="005569D2"/>
    <w:rsid w:val="00557B0B"/>
    <w:rsid w:val="005602CC"/>
    <w:rsid w:val="005612C3"/>
    <w:rsid w:val="00561448"/>
    <w:rsid w:val="00563261"/>
    <w:rsid w:val="005637B1"/>
    <w:rsid w:val="00566FD4"/>
    <w:rsid w:val="00567676"/>
    <w:rsid w:val="0056794E"/>
    <w:rsid w:val="005708A6"/>
    <w:rsid w:val="00570939"/>
    <w:rsid w:val="00573954"/>
    <w:rsid w:val="005745B9"/>
    <w:rsid w:val="005770EC"/>
    <w:rsid w:val="00577837"/>
    <w:rsid w:val="00577BD2"/>
    <w:rsid w:val="00580841"/>
    <w:rsid w:val="00584054"/>
    <w:rsid w:val="0058704A"/>
    <w:rsid w:val="00587F16"/>
    <w:rsid w:val="00590762"/>
    <w:rsid w:val="00590D57"/>
    <w:rsid w:val="0059269B"/>
    <w:rsid w:val="005926F4"/>
    <w:rsid w:val="00593962"/>
    <w:rsid w:val="0059493B"/>
    <w:rsid w:val="00596F70"/>
    <w:rsid w:val="00597DFC"/>
    <w:rsid w:val="00597E5D"/>
    <w:rsid w:val="005A016A"/>
    <w:rsid w:val="005A0DD7"/>
    <w:rsid w:val="005A0E27"/>
    <w:rsid w:val="005A1133"/>
    <w:rsid w:val="005A1757"/>
    <w:rsid w:val="005A52B2"/>
    <w:rsid w:val="005A6A02"/>
    <w:rsid w:val="005B0983"/>
    <w:rsid w:val="005B0B3B"/>
    <w:rsid w:val="005B0D9D"/>
    <w:rsid w:val="005B1996"/>
    <w:rsid w:val="005B2E9D"/>
    <w:rsid w:val="005B4282"/>
    <w:rsid w:val="005B481D"/>
    <w:rsid w:val="005B52B7"/>
    <w:rsid w:val="005B7042"/>
    <w:rsid w:val="005B74B9"/>
    <w:rsid w:val="005C0132"/>
    <w:rsid w:val="005C21BE"/>
    <w:rsid w:val="005C25B7"/>
    <w:rsid w:val="005C408C"/>
    <w:rsid w:val="005C510F"/>
    <w:rsid w:val="005C6B67"/>
    <w:rsid w:val="005C6CE3"/>
    <w:rsid w:val="005C738A"/>
    <w:rsid w:val="005C7CAD"/>
    <w:rsid w:val="005C7D17"/>
    <w:rsid w:val="005D1985"/>
    <w:rsid w:val="005D2315"/>
    <w:rsid w:val="005D26AA"/>
    <w:rsid w:val="005D5287"/>
    <w:rsid w:val="005D58DD"/>
    <w:rsid w:val="005D6C59"/>
    <w:rsid w:val="005E0419"/>
    <w:rsid w:val="005E1120"/>
    <w:rsid w:val="005E1684"/>
    <w:rsid w:val="005E2AAB"/>
    <w:rsid w:val="005E34BE"/>
    <w:rsid w:val="005E4B19"/>
    <w:rsid w:val="005E6EBF"/>
    <w:rsid w:val="005E6F1B"/>
    <w:rsid w:val="005F1469"/>
    <w:rsid w:val="005F153C"/>
    <w:rsid w:val="005F32C8"/>
    <w:rsid w:val="005F42EF"/>
    <w:rsid w:val="005F7692"/>
    <w:rsid w:val="005F7E73"/>
    <w:rsid w:val="00600E89"/>
    <w:rsid w:val="00601C49"/>
    <w:rsid w:val="006027F1"/>
    <w:rsid w:val="00603780"/>
    <w:rsid w:val="00603CC9"/>
    <w:rsid w:val="00603FB9"/>
    <w:rsid w:val="00604737"/>
    <w:rsid w:val="006051CD"/>
    <w:rsid w:val="00605CC7"/>
    <w:rsid w:val="006061F6"/>
    <w:rsid w:val="006111E8"/>
    <w:rsid w:val="00611952"/>
    <w:rsid w:val="006148C6"/>
    <w:rsid w:val="00614B89"/>
    <w:rsid w:val="0061602E"/>
    <w:rsid w:val="00617BE4"/>
    <w:rsid w:val="00617DA4"/>
    <w:rsid w:val="00620DED"/>
    <w:rsid w:val="006224EE"/>
    <w:rsid w:val="00622AF3"/>
    <w:rsid w:val="006257E1"/>
    <w:rsid w:val="006278CE"/>
    <w:rsid w:val="00630BDE"/>
    <w:rsid w:val="006311EF"/>
    <w:rsid w:val="00635535"/>
    <w:rsid w:val="0064011F"/>
    <w:rsid w:val="006430A7"/>
    <w:rsid w:val="0064392A"/>
    <w:rsid w:val="00643B8A"/>
    <w:rsid w:val="006465D2"/>
    <w:rsid w:val="0064694B"/>
    <w:rsid w:val="00647A71"/>
    <w:rsid w:val="00647FEB"/>
    <w:rsid w:val="0065061B"/>
    <w:rsid w:val="006529A6"/>
    <w:rsid w:val="00653037"/>
    <w:rsid w:val="0065491B"/>
    <w:rsid w:val="0065500A"/>
    <w:rsid w:val="006565C3"/>
    <w:rsid w:val="006566D2"/>
    <w:rsid w:val="00657868"/>
    <w:rsid w:val="00661259"/>
    <w:rsid w:val="0066389B"/>
    <w:rsid w:val="00666C11"/>
    <w:rsid w:val="006721E3"/>
    <w:rsid w:val="00672A4C"/>
    <w:rsid w:val="00673B15"/>
    <w:rsid w:val="00674125"/>
    <w:rsid w:val="0067448E"/>
    <w:rsid w:val="006744CF"/>
    <w:rsid w:val="00676328"/>
    <w:rsid w:val="0068025D"/>
    <w:rsid w:val="00683179"/>
    <w:rsid w:val="0068330E"/>
    <w:rsid w:val="00683A0B"/>
    <w:rsid w:val="00683A9E"/>
    <w:rsid w:val="006868CE"/>
    <w:rsid w:val="00686C57"/>
    <w:rsid w:val="00691059"/>
    <w:rsid w:val="00691688"/>
    <w:rsid w:val="006976DA"/>
    <w:rsid w:val="006A60E0"/>
    <w:rsid w:val="006B043C"/>
    <w:rsid w:val="006B120B"/>
    <w:rsid w:val="006B1415"/>
    <w:rsid w:val="006B1C0D"/>
    <w:rsid w:val="006B46F5"/>
    <w:rsid w:val="006B46F6"/>
    <w:rsid w:val="006B54D4"/>
    <w:rsid w:val="006B5D2A"/>
    <w:rsid w:val="006B6D58"/>
    <w:rsid w:val="006B799E"/>
    <w:rsid w:val="006B7C62"/>
    <w:rsid w:val="006C2D37"/>
    <w:rsid w:val="006C5728"/>
    <w:rsid w:val="006C616B"/>
    <w:rsid w:val="006C73F8"/>
    <w:rsid w:val="006D1AAD"/>
    <w:rsid w:val="006D41C9"/>
    <w:rsid w:val="006D5357"/>
    <w:rsid w:val="006D6CD6"/>
    <w:rsid w:val="006E2FA9"/>
    <w:rsid w:val="006E6550"/>
    <w:rsid w:val="006E76C5"/>
    <w:rsid w:val="006F267E"/>
    <w:rsid w:val="006F2D82"/>
    <w:rsid w:val="007006E3"/>
    <w:rsid w:val="00701B41"/>
    <w:rsid w:val="00703B57"/>
    <w:rsid w:val="007046E6"/>
    <w:rsid w:val="00704B09"/>
    <w:rsid w:val="00706913"/>
    <w:rsid w:val="00707920"/>
    <w:rsid w:val="00710A44"/>
    <w:rsid w:val="00712A7C"/>
    <w:rsid w:val="00712AA5"/>
    <w:rsid w:val="007131E4"/>
    <w:rsid w:val="00713922"/>
    <w:rsid w:val="0071491A"/>
    <w:rsid w:val="00716DFF"/>
    <w:rsid w:val="00717EE3"/>
    <w:rsid w:val="00720504"/>
    <w:rsid w:val="0072052E"/>
    <w:rsid w:val="00720F50"/>
    <w:rsid w:val="00721A05"/>
    <w:rsid w:val="0072400F"/>
    <w:rsid w:val="00724129"/>
    <w:rsid w:val="007243B6"/>
    <w:rsid w:val="00725536"/>
    <w:rsid w:val="00725F03"/>
    <w:rsid w:val="007264F2"/>
    <w:rsid w:val="0072764D"/>
    <w:rsid w:val="00730241"/>
    <w:rsid w:val="00730321"/>
    <w:rsid w:val="0073145A"/>
    <w:rsid w:val="00733AAA"/>
    <w:rsid w:val="007342BA"/>
    <w:rsid w:val="0073473B"/>
    <w:rsid w:val="0073571A"/>
    <w:rsid w:val="00735E7B"/>
    <w:rsid w:val="00737212"/>
    <w:rsid w:val="007412E9"/>
    <w:rsid w:val="007454F6"/>
    <w:rsid w:val="007463E6"/>
    <w:rsid w:val="0074643B"/>
    <w:rsid w:val="0074674A"/>
    <w:rsid w:val="00746A22"/>
    <w:rsid w:val="007475B1"/>
    <w:rsid w:val="00750DAB"/>
    <w:rsid w:val="00752358"/>
    <w:rsid w:val="00752D93"/>
    <w:rsid w:val="007535A9"/>
    <w:rsid w:val="00754A18"/>
    <w:rsid w:val="00757568"/>
    <w:rsid w:val="00757A82"/>
    <w:rsid w:val="007608B6"/>
    <w:rsid w:val="00761260"/>
    <w:rsid w:val="007623D2"/>
    <w:rsid w:val="00763D6E"/>
    <w:rsid w:val="0076505B"/>
    <w:rsid w:val="00765215"/>
    <w:rsid w:val="007669CF"/>
    <w:rsid w:val="00766D93"/>
    <w:rsid w:val="007714E6"/>
    <w:rsid w:val="00771C5B"/>
    <w:rsid w:val="00772C27"/>
    <w:rsid w:val="00774388"/>
    <w:rsid w:val="007768BD"/>
    <w:rsid w:val="00781DF2"/>
    <w:rsid w:val="00785AD9"/>
    <w:rsid w:val="007868F7"/>
    <w:rsid w:val="00786D29"/>
    <w:rsid w:val="00791098"/>
    <w:rsid w:val="007914A3"/>
    <w:rsid w:val="00791C1C"/>
    <w:rsid w:val="00792158"/>
    <w:rsid w:val="00794481"/>
    <w:rsid w:val="007951AC"/>
    <w:rsid w:val="00795412"/>
    <w:rsid w:val="00795A46"/>
    <w:rsid w:val="00796528"/>
    <w:rsid w:val="007A1E07"/>
    <w:rsid w:val="007A4238"/>
    <w:rsid w:val="007A5EB9"/>
    <w:rsid w:val="007A7259"/>
    <w:rsid w:val="007B0C63"/>
    <w:rsid w:val="007B0CF5"/>
    <w:rsid w:val="007B38B8"/>
    <w:rsid w:val="007B4B05"/>
    <w:rsid w:val="007B5621"/>
    <w:rsid w:val="007B6423"/>
    <w:rsid w:val="007B785A"/>
    <w:rsid w:val="007C1C63"/>
    <w:rsid w:val="007C1D13"/>
    <w:rsid w:val="007C1F20"/>
    <w:rsid w:val="007C2771"/>
    <w:rsid w:val="007C67C0"/>
    <w:rsid w:val="007C6956"/>
    <w:rsid w:val="007C6E1D"/>
    <w:rsid w:val="007D00CE"/>
    <w:rsid w:val="007D063D"/>
    <w:rsid w:val="007D1E39"/>
    <w:rsid w:val="007D2891"/>
    <w:rsid w:val="007D2E48"/>
    <w:rsid w:val="007D32E5"/>
    <w:rsid w:val="007D5C86"/>
    <w:rsid w:val="007D5DF2"/>
    <w:rsid w:val="007E479D"/>
    <w:rsid w:val="007E5D76"/>
    <w:rsid w:val="007E6C29"/>
    <w:rsid w:val="007F0070"/>
    <w:rsid w:val="007F06A0"/>
    <w:rsid w:val="007F45B3"/>
    <w:rsid w:val="007F506D"/>
    <w:rsid w:val="00800DF2"/>
    <w:rsid w:val="00801689"/>
    <w:rsid w:val="00802620"/>
    <w:rsid w:val="00804A10"/>
    <w:rsid w:val="00805A25"/>
    <w:rsid w:val="00805A66"/>
    <w:rsid w:val="00806FD3"/>
    <w:rsid w:val="008109AE"/>
    <w:rsid w:val="00810CA1"/>
    <w:rsid w:val="00811C8F"/>
    <w:rsid w:val="00812FDD"/>
    <w:rsid w:val="00814962"/>
    <w:rsid w:val="00815124"/>
    <w:rsid w:val="00815B55"/>
    <w:rsid w:val="0081711A"/>
    <w:rsid w:val="008172CE"/>
    <w:rsid w:val="00817D4C"/>
    <w:rsid w:val="008206C8"/>
    <w:rsid w:val="00820EF3"/>
    <w:rsid w:val="008217AB"/>
    <w:rsid w:val="00821836"/>
    <w:rsid w:val="00823C14"/>
    <w:rsid w:val="00823CEB"/>
    <w:rsid w:val="00827076"/>
    <w:rsid w:val="00830828"/>
    <w:rsid w:val="008315B8"/>
    <w:rsid w:val="00832F3B"/>
    <w:rsid w:val="00833728"/>
    <w:rsid w:val="00834B58"/>
    <w:rsid w:val="00835D97"/>
    <w:rsid w:val="0084010B"/>
    <w:rsid w:val="00843213"/>
    <w:rsid w:val="00843344"/>
    <w:rsid w:val="00843442"/>
    <w:rsid w:val="008444F7"/>
    <w:rsid w:val="00850457"/>
    <w:rsid w:val="008507E7"/>
    <w:rsid w:val="00850F6B"/>
    <w:rsid w:val="00851E50"/>
    <w:rsid w:val="00852F95"/>
    <w:rsid w:val="00853033"/>
    <w:rsid w:val="00853C59"/>
    <w:rsid w:val="00853CBF"/>
    <w:rsid w:val="00853D16"/>
    <w:rsid w:val="00854352"/>
    <w:rsid w:val="008549EB"/>
    <w:rsid w:val="00855CFE"/>
    <w:rsid w:val="00856027"/>
    <w:rsid w:val="008571F1"/>
    <w:rsid w:val="00857D52"/>
    <w:rsid w:val="00857F55"/>
    <w:rsid w:val="00860E25"/>
    <w:rsid w:val="00861575"/>
    <w:rsid w:val="00863550"/>
    <w:rsid w:val="00863EE1"/>
    <w:rsid w:val="00865375"/>
    <w:rsid w:val="00865B2F"/>
    <w:rsid w:val="00866399"/>
    <w:rsid w:val="00872308"/>
    <w:rsid w:val="00873466"/>
    <w:rsid w:val="008741EF"/>
    <w:rsid w:val="00875746"/>
    <w:rsid w:val="00875848"/>
    <w:rsid w:val="008764B5"/>
    <w:rsid w:val="0087744E"/>
    <w:rsid w:val="00880054"/>
    <w:rsid w:val="008805E1"/>
    <w:rsid w:val="0088179B"/>
    <w:rsid w:val="008817F1"/>
    <w:rsid w:val="00883C82"/>
    <w:rsid w:val="00886704"/>
    <w:rsid w:val="00887F41"/>
    <w:rsid w:val="008902E7"/>
    <w:rsid w:val="00891AF9"/>
    <w:rsid w:val="00892881"/>
    <w:rsid w:val="00895274"/>
    <w:rsid w:val="008973DD"/>
    <w:rsid w:val="008A0C96"/>
    <w:rsid w:val="008A1FCB"/>
    <w:rsid w:val="008A2F93"/>
    <w:rsid w:val="008A3E32"/>
    <w:rsid w:val="008A5D50"/>
    <w:rsid w:val="008A611D"/>
    <w:rsid w:val="008A67F4"/>
    <w:rsid w:val="008A6BD8"/>
    <w:rsid w:val="008A7A84"/>
    <w:rsid w:val="008B0052"/>
    <w:rsid w:val="008B181F"/>
    <w:rsid w:val="008B1949"/>
    <w:rsid w:val="008B2115"/>
    <w:rsid w:val="008B2591"/>
    <w:rsid w:val="008B26A9"/>
    <w:rsid w:val="008B5710"/>
    <w:rsid w:val="008B5A4C"/>
    <w:rsid w:val="008B7E9D"/>
    <w:rsid w:val="008C01C2"/>
    <w:rsid w:val="008C2C27"/>
    <w:rsid w:val="008C2D56"/>
    <w:rsid w:val="008C3065"/>
    <w:rsid w:val="008C4860"/>
    <w:rsid w:val="008C5CEA"/>
    <w:rsid w:val="008C7D3C"/>
    <w:rsid w:val="008C7E04"/>
    <w:rsid w:val="008D0263"/>
    <w:rsid w:val="008D0365"/>
    <w:rsid w:val="008D0CC0"/>
    <w:rsid w:val="008D0DB9"/>
    <w:rsid w:val="008D11C0"/>
    <w:rsid w:val="008D23E4"/>
    <w:rsid w:val="008D29A6"/>
    <w:rsid w:val="008D3D43"/>
    <w:rsid w:val="008D5815"/>
    <w:rsid w:val="008D7C38"/>
    <w:rsid w:val="008E0CF2"/>
    <w:rsid w:val="008E13DC"/>
    <w:rsid w:val="008E2767"/>
    <w:rsid w:val="008E38A8"/>
    <w:rsid w:val="008E3FC0"/>
    <w:rsid w:val="008E4DDA"/>
    <w:rsid w:val="008E7279"/>
    <w:rsid w:val="008E7BEE"/>
    <w:rsid w:val="008F1769"/>
    <w:rsid w:val="008F32D3"/>
    <w:rsid w:val="008F4221"/>
    <w:rsid w:val="008F484B"/>
    <w:rsid w:val="008F7CE3"/>
    <w:rsid w:val="008F7F0A"/>
    <w:rsid w:val="00901B35"/>
    <w:rsid w:val="00902062"/>
    <w:rsid w:val="00903278"/>
    <w:rsid w:val="00903968"/>
    <w:rsid w:val="00904369"/>
    <w:rsid w:val="0090551B"/>
    <w:rsid w:val="00905665"/>
    <w:rsid w:val="009117B3"/>
    <w:rsid w:val="00912B84"/>
    <w:rsid w:val="00913804"/>
    <w:rsid w:val="00914204"/>
    <w:rsid w:val="009177AB"/>
    <w:rsid w:val="00921A4C"/>
    <w:rsid w:val="0092237A"/>
    <w:rsid w:val="00922F2A"/>
    <w:rsid w:val="009243AC"/>
    <w:rsid w:val="00925B31"/>
    <w:rsid w:val="00927669"/>
    <w:rsid w:val="00927C32"/>
    <w:rsid w:val="009320D8"/>
    <w:rsid w:val="0093473C"/>
    <w:rsid w:val="00934B6C"/>
    <w:rsid w:val="009358E2"/>
    <w:rsid w:val="009378C3"/>
    <w:rsid w:val="0094253F"/>
    <w:rsid w:val="009452CB"/>
    <w:rsid w:val="0095052D"/>
    <w:rsid w:val="00950DD2"/>
    <w:rsid w:val="0095141E"/>
    <w:rsid w:val="009536B3"/>
    <w:rsid w:val="00955967"/>
    <w:rsid w:val="009564B7"/>
    <w:rsid w:val="00956B0D"/>
    <w:rsid w:val="00961EA8"/>
    <w:rsid w:val="00961F1D"/>
    <w:rsid w:val="009634D8"/>
    <w:rsid w:val="00964C9D"/>
    <w:rsid w:val="00964DA5"/>
    <w:rsid w:val="00966BA1"/>
    <w:rsid w:val="00967C09"/>
    <w:rsid w:val="00971577"/>
    <w:rsid w:val="0097167E"/>
    <w:rsid w:val="00973A69"/>
    <w:rsid w:val="00973EAC"/>
    <w:rsid w:val="0097579B"/>
    <w:rsid w:val="00983354"/>
    <w:rsid w:val="0098560E"/>
    <w:rsid w:val="00985C02"/>
    <w:rsid w:val="00986ED6"/>
    <w:rsid w:val="009873F8"/>
    <w:rsid w:val="00987B24"/>
    <w:rsid w:val="00987C9C"/>
    <w:rsid w:val="00991253"/>
    <w:rsid w:val="00992F3C"/>
    <w:rsid w:val="00993008"/>
    <w:rsid w:val="00994040"/>
    <w:rsid w:val="00994A2F"/>
    <w:rsid w:val="00997CE3"/>
    <w:rsid w:val="009A1D0B"/>
    <w:rsid w:val="009A3293"/>
    <w:rsid w:val="009A3C28"/>
    <w:rsid w:val="009A4F61"/>
    <w:rsid w:val="009A6FB0"/>
    <w:rsid w:val="009A7D0D"/>
    <w:rsid w:val="009B35D7"/>
    <w:rsid w:val="009B37A7"/>
    <w:rsid w:val="009B4F1E"/>
    <w:rsid w:val="009B5FDD"/>
    <w:rsid w:val="009B613B"/>
    <w:rsid w:val="009B69AD"/>
    <w:rsid w:val="009C124C"/>
    <w:rsid w:val="009C1A84"/>
    <w:rsid w:val="009C1D91"/>
    <w:rsid w:val="009C240E"/>
    <w:rsid w:val="009C478C"/>
    <w:rsid w:val="009C618C"/>
    <w:rsid w:val="009C6315"/>
    <w:rsid w:val="009C7D87"/>
    <w:rsid w:val="009D26FE"/>
    <w:rsid w:val="009D3C0B"/>
    <w:rsid w:val="009D591A"/>
    <w:rsid w:val="009D5946"/>
    <w:rsid w:val="009E0097"/>
    <w:rsid w:val="009E1452"/>
    <w:rsid w:val="009E1B30"/>
    <w:rsid w:val="009E284B"/>
    <w:rsid w:val="009F18AC"/>
    <w:rsid w:val="009F3A31"/>
    <w:rsid w:val="009F445C"/>
    <w:rsid w:val="009F6F40"/>
    <w:rsid w:val="009F7D28"/>
    <w:rsid w:val="00A0044A"/>
    <w:rsid w:val="00A03FD5"/>
    <w:rsid w:val="00A04284"/>
    <w:rsid w:val="00A04705"/>
    <w:rsid w:val="00A05B61"/>
    <w:rsid w:val="00A05B7D"/>
    <w:rsid w:val="00A1165A"/>
    <w:rsid w:val="00A13E7E"/>
    <w:rsid w:val="00A1483A"/>
    <w:rsid w:val="00A1499D"/>
    <w:rsid w:val="00A163BA"/>
    <w:rsid w:val="00A212BE"/>
    <w:rsid w:val="00A21ADA"/>
    <w:rsid w:val="00A25762"/>
    <w:rsid w:val="00A30254"/>
    <w:rsid w:val="00A30310"/>
    <w:rsid w:val="00A308F5"/>
    <w:rsid w:val="00A30D26"/>
    <w:rsid w:val="00A3580A"/>
    <w:rsid w:val="00A3657A"/>
    <w:rsid w:val="00A3679E"/>
    <w:rsid w:val="00A37451"/>
    <w:rsid w:val="00A377F7"/>
    <w:rsid w:val="00A40989"/>
    <w:rsid w:val="00A40E11"/>
    <w:rsid w:val="00A41AEB"/>
    <w:rsid w:val="00A421B0"/>
    <w:rsid w:val="00A43E2C"/>
    <w:rsid w:val="00A45F08"/>
    <w:rsid w:val="00A4708D"/>
    <w:rsid w:val="00A47133"/>
    <w:rsid w:val="00A50BB3"/>
    <w:rsid w:val="00A541CA"/>
    <w:rsid w:val="00A54B18"/>
    <w:rsid w:val="00A553B6"/>
    <w:rsid w:val="00A56BD4"/>
    <w:rsid w:val="00A57B7B"/>
    <w:rsid w:val="00A57B83"/>
    <w:rsid w:val="00A60A86"/>
    <w:rsid w:val="00A618AC"/>
    <w:rsid w:val="00A675E9"/>
    <w:rsid w:val="00A67C80"/>
    <w:rsid w:val="00A67D84"/>
    <w:rsid w:val="00A67DE9"/>
    <w:rsid w:val="00A70572"/>
    <w:rsid w:val="00A72B88"/>
    <w:rsid w:val="00A73317"/>
    <w:rsid w:val="00A755FD"/>
    <w:rsid w:val="00A75B7C"/>
    <w:rsid w:val="00A80072"/>
    <w:rsid w:val="00A8082B"/>
    <w:rsid w:val="00A80F36"/>
    <w:rsid w:val="00A825DF"/>
    <w:rsid w:val="00A847E4"/>
    <w:rsid w:val="00A85FD6"/>
    <w:rsid w:val="00A876C1"/>
    <w:rsid w:val="00A87778"/>
    <w:rsid w:val="00A919CF"/>
    <w:rsid w:val="00A91BFD"/>
    <w:rsid w:val="00A94604"/>
    <w:rsid w:val="00A94CFB"/>
    <w:rsid w:val="00A94E60"/>
    <w:rsid w:val="00AA0E03"/>
    <w:rsid w:val="00AA30A9"/>
    <w:rsid w:val="00AA443E"/>
    <w:rsid w:val="00AA4F3F"/>
    <w:rsid w:val="00AA4FE7"/>
    <w:rsid w:val="00AA5C47"/>
    <w:rsid w:val="00AA66E3"/>
    <w:rsid w:val="00AA66FC"/>
    <w:rsid w:val="00AA67D9"/>
    <w:rsid w:val="00AB20CA"/>
    <w:rsid w:val="00AB272F"/>
    <w:rsid w:val="00AB405E"/>
    <w:rsid w:val="00AB4BE6"/>
    <w:rsid w:val="00AB4F2D"/>
    <w:rsid w:val="00AB5CE0"/>
    <w:rsid w:val="00AB656D"/>
    <w:rsid w:val="00AB7942"/>
    <w:rsid w:val="00AC0D2A"/>
    <w:rsid w:val="00AC10CC"/>
    <w:rsid w:val="00AC23A5"/>
    <w:rsid w:val="00AC2596"/>
    <w:rsid w:val="00AC2764"/>
    <w:rsid w:val="00AC2FB4"/>
    <w:rsid w:val="00AC31D2"/>
    <w:rsid w:val="00AC3CF2"/>
    <w:rsid w:val="00AC468E"/>
    <w:rsid w:val="00AC6E29"/>
    <w:rsid w:val="00AD0F77"/>
    <w:rsid w:val="00AD1193"/>
    <w:rsid w:val="00AD3A4D"/>
    <w:rsid w:val="00AD3E38"/>
    <w:rsid w:val="00AD4121"/>
    <w:rsid w:val="00AD437D"/>
    <w:rsid w:val="00AD45A5"/>
    <w:rsid w:val="00AE0EEE"/>
    <w:rsid w:val="00AE247C"/>
    <w:rsid w:val="00AE2983"/>
    <w:rsid w:val="00AE2EDB"/>
    <w:rsid w:val="00AE42AA"/>
    <w:rsid w:val="00AE4DFC"/>
    <w:rsid w:val="00AE665B"/>
    <w:rsid w:val="00AE70B9"/>
    <w:rsid w:val="00AF08AD"/>
    <w:rsid w:val="00AF08E7"/>
    <w:rsid w:val="00AF2BCC"/>
    <w:rsid w:val="00AF3E47"/>
    <w:rsid w:val="00AF43A4"/>
    <w:rsid w:val="00AF49D4"/>
    <w:rsid w:val="00AF4D09"/>
    <w:rsid w:val="00AF6A1A"/>
    <w:rsid w:val="00AF7142"/>
    <w:rsid w:val="00AF7545"/>
    <w:rsid w:val="00B00F04"/>
    <w:rsid w:val="00B0192D"/>
    <w:rsid w:val="00B02072"/>
    <w:rsid w:val="00B02542"/>
    <w:rsid w:val="00B0382B"/>
    <w:rsid w:val="00B04984"/>
    <w:rsid w:val="00B05555"/>
    <w:rsid w:val="00B06A69"/>
    <w:rsid w:val="00B1304B"/>
    <w:rsid w:val="00B138C5"/>
    <w:rsid w:val="00B140A1"/>
    <w:rsid w:val="00B16B8F"/>
    <w:rsid w:val="00B170F4"/>
    <w:rsid w:val="00B21EF1"/>
    <w:rsid w:val="00B2466F"/>
    <w:rsid w:val="00B308B9"/>
    <w:rsid w:val="00B3154F"/>
    <w:rsid w:val="00B3214C"/>
    <w:rsid w:val="00B34C58"/>
    <w:rsid w:val="00B42490"/>
    <w:rsid w:val="00B457C0"/>
    <w:rsid w:val="00B4589D"/>
    <w:rsid w:val="00B50308"/>
    <w:rsid w:val="00B52231"/>
    <w:rsid w:val="00B553CB"/>
    <w:rsid w:val="00B55B91"/>
    <w:rsid w:val="00B6260F"/>
    <w:rsid w:val="00B63271"/>
    <w:rsid w:val="00B65665"/>
    <w:rsid w:val="00B73452"/>
    <w:rsid w:val="00B73C70"/>
    <w:rsid w:val="00B7545F"/>
    <w:rsid w:val="00B804D5"/>
    <w:rsid w:val="00B828CD"/>
    <w:rsid w:val="00B82BD5"/>
    <w:rsid w:val="00B839E2"/>
    <w:rsid w:val="00B902A2"/>
    <w:rsid w:val="00B90C30"/>
    <w:rsid w:val="00B91D0F"/>
    <w:rsid w:val="00B92E41"/>
    <w:rsid w:val="00B93295"/>
    <w:rsid w:val="00B943B8"/>
    <w:rsid w:val="00BA230B"/>
    <w:rsid w:val="00BA2815"/>
    <w:rsid w:val="00BA364F"/>
    <w:rsid w:val="00BA4FC2"/>
    <w:rsid w:val="00BA549B"/>
    <w:rsid w:val="00BA55F1"/>
    <w:rsid w:val="00BA62CA"/>
    <w:rsid w:val="00BB2047"/>
    <w:rsid w:val="00BB467E"/>
    <w:rsid w:val="00BB512F"/>
    <w:rsid w:val="00BB5A42"/>
    <w:rsid w:val="00BB5D98"/>
    <w:rsid w:val="00BB6A8B"/>
    <w:rsid w:val="00BB7B52"/>
    <w:rsid w:val="00BC2D37"/>
    <w:rsid w:val="00BC3801"/>
    <w:rsid w:val="00BC3DFF"/>
    <w:rsid w:val="00BC4BB9"/>
    <w:rsid w:val="00BC5638"/>
    <w:rsid w:val="00BC708A"/>
    <w:rsid w:val="00BC733F"/>
    <w:rsid w:val="00BD0128"/>
    <w:rsid w:val="00BD02B4"/>
    <w:rsid w:val="00BD0DCC"/>
    <w:rsid w:val="00BD2653"/>
    <w:rsid w:val="00BD3C10"/>
    <w:rsid w:val="00BD5E5F"/>
    <w:rsid w:val="00BD740B"/>
    <w:rsid w:val="00BE0BCF"/>
    <w:rsid w:val="00BE19DA"/>
    <w:rsid w:val="00BE5547"/>
    <w:rsid w:val="00BE55D5"/>
    <w:rsid w:val="00BE6E18"/>
    <w:rsid w:val="00BE73FC"/>
    <w:rsid w:val="00BE7612"/>
    <w:rsid w:val="00BF39E1"/>
    <w:rsid w:val="00BF54F0"/>
    <w:rsid w:val="00BF5AA0"/>
    <w:rsid w:val="00BF76B3"/>
    <w:rsid w:val="00BF7D32"/>
    <w:rsid w:val="00C003F7"/>
    <w:rsid w:val="00C04375"/>
    <w:rsid w:val="00C11D98"/>
    <w:rsid w:val="00C135E5"/>
    <w:rsid w:val="00C168AA"/>
    <w:rsid w:val="00C179EE"/>
    <w:rsid w:val="00C20C9E"/>
    <w:rsid w:val="00C21815"/>
    <w:rsid w:val="00C219DB"/>
    <w:rsid w:val="00C21FA0"/>
    <w:rsid w:val="00C2315E"/>
    <w:rsid w:val="00C237D7"/>
    <w:rsid w:val="00C237D8"/>
    <w:rsid w:val="00C23E06"/>
    <w:rsid w:val="00C24811"/>
    <w:rsid w:val="00C25100"/>
    <w:rsid w:val="00C34C15"/>
    <w:rsid w:val="00C3727D"/>
    <w:rsid w:val="00C37C78"/>
    <w:rsid w:val="00C4009E"/>
    <w:rsid w:val="00C41103"/>
    <w:rsid w:val="00C41BE9"/>
    <w:rsid w:val="00C42770"/>
    <w:rsid w:val="00C55462"/>
    <w:rsid w:val="00C55A73"/>
    <w:rsid w:val="00C55D66"/>
    <w:rsid w:val="00C569FF"/>
    <w:rsid w:val="00C61615"/>
    <w:rsid w:val="00C62EEF"/>
    <w:rsid w:val="00C651CC"/>
    <w:rsid w:val="00C65B70"/>
    <w:rsid w:val="00C6703E"/>
    <w:rsid w:val="00C671E1"/>
    <w:rsid w:val="00C736A1"/>
    <w:rsid w:val="00C74025"/>
    <w:rsid w:val="00C774E6"/>
    <w:rsid w:val="00C8637D"/>
    <w:rsid w:val="00C86DEB"/>
    <w:rsid w:val="00C86F60"/>
    <w:rsid w:val="00C905CD"/>
    <w:rsid w:val="00C91AD4"/>
    <w:rsid w:val="00C92DD6"/>
    <w:rsid w:val="00C9441A"/>
    <w:rsid w:val="00C95AD0"/>
    <w:rsid w:val="00CA11D3"/>
    <w:rsid w:val="00CA134D"/>
    <w:rsid w:val="00CA1768"/>
    <w:rsid w:val="00CA2300"/>
    <w:rsid w:val="00CA2F34"/>
    <w:rsid w:val="00CA41F2"/>
    <w:rsid w:val="00CA6A23"/>
    <w:rsid w:val="00CA6D5B"/>
    <w:rsid w:val="00CA6EF7"/>
    <w:rsid w:val="00CA7D8C"/>
    <w:rsid w:val="00CB0337"/>
    <w:rsid w:val="00CB1936"/>
    <w:rsid w:val="00CB1CAB"/>
    <w:rsid w:val="00CB34C5"/>
    <w:rsid w:val="00CB4207"/>
    <w:rsid w:val="00CB4EEE"/>
    <w:rsid w:val="00CB4FB2"/>
    <w:rsid w:val="00CC6271"/>
    <w:rsid w:val="00CD035C"/>
    <w:rsid w:val="00CD474B"/>
    <w:rsid w:val="00CD4D96"/>
    <w:rsid w:val="00CD5728"/>
    <w:rsid w:val="00CD5D5C"/>
    <w:rsid w:val="00CD6018"/>
    <w:rsid w:val="00CD640D"/>
    <w:rsid w:val="00CE0EED"/>
    <w:rsid w:val="00CE1E35"/>
    <w:rsid w:val="00CE22B4"/>
    <w:rsid w:val="00CE2CC6"/>
    <w:rsid w:val="00CE35BD"/>
    <w:rsid w:val="00CE3754"/>
    <w:rsid w:val="00CE388F"/>
    <w:rsid w:val="00CE4B84"/>
    <w:rsid w:val="00CE6738"/>
    <w:rsid w:val="00CF0A47"/>
    <w:rsid w:val="00CF1B37"/>
    <w:rsid w:val="00CF46A2"/>
    <w:rsid w:val="00CF47A0"/>
    <w:rsid w:val="00CF56D2"/>
    <w:rsid w:val="00CF5DCF"/>
    <w:rsid w:val="00CF6BD3"/>
    <w:rsid w:val="00CF7E76"/>
    <w:rsid w:val="00D0084C"/>
    <w:rsid w:val="00D014A4"/>
    <w:rsid w:val="00D027F0"/>
    <w:rsid w:val="00D04665"/>
    <w:rsid w:val="00D04BA0"/>
    <w:rsid w:val="00D0644F"/>
    <w:rsid w:val="00D11C1B"/>
    <w:rsid w:val="00D123AB"/>
    <w:rsid w:val="00D126C3"/>
    <w:rsid w:val="00D13B1F"/>
    <w:rsid w:val="00D154B7"/>
    <w:rsid w:val="00D1573A"/>
    <w:rsid w:val="00D178AD"/>
    <w:rsid w:val="00D217DC"/>
    <w:rsid w:val="00D25609"/>
    <w:rsid w:val="00D25B62"/>
    <w:rsid w:val="00D264C0"/>
    <w:rsid w:val="00D26A3B"/>
    <w:rsid w:val="00D26C49"/>
    <w:rsid w:val="00D315B0"/>
    <w:rsid w:val="00D3174A"/>
    <w:rsid w:val="00D3438D"/>
    <w:rsid w:val="00D34521"/>
    <w:rsid w:val="00D357B3"/>
    <w:rsid w:val="00D35EAA"/>
    <w:rsid w:val="00D35FE1"/>
    <w:rsid w:val="00D36C27"/>
    <w:rsid w:val="00D3734A"/>
    <w:rsid w:val="00D373EC"/>
    <w:rsid w:val="00D40088"/>
    <w:rsid w:val="00D419FD"/>
    <w:rsid w:val="00D44506"/>
    <w:rsid w:val="00D46B9C"/>
    <w:rsid w:val="00D51EF8"/>
    <w:rsid w:val="00D539A3"/>
    <w:rsid w:val="00D53A54"/>
    <w:rsid w:val="00D53E31"/>
    <w:rsid w:val="00D55805"/>
    <w:rsid w:val="00D56A6E"/>
    <w:rsid w:val="00D56D47"/>
    <w:rsid w:val="00D57A29"/>
    <w:rsid w:val="00D60609"/>
    <w:rsid w:val="00D64696"/>
    <w:rsid w:val="00D64A09"/>
    <w:rsid w:val="00D65E2B"/>
    <w:rsid w:val="00D66FDF"/>
    <w:rsid w:val="00D67FFE"/>
    <w:rsid w:val="00D71F21"/>
    <w:rsid w:val="00D7421D"/>
    <w:rsid w:val="00D74398"/>
    <w:rsid w:val="00D75DAE"/>
    <w:rsid w:val="00D7701D"/>
    <w:rsid w:val="00D778D8"/>
    <w:rsid w:val="00D77A3E"/>
    <w:rsid w:val="00D818FC"/>
    <w:rsid w:val="00D8316F"/>
    <w:rsid w:val="00D83D41"/>
    <w:rsid w:val="00D84FF4"/>
    <w:rsid w:val="00D85302"/>
    <w:rsid w:val="00D902D0"/>
    <w:rsid w:val="00D94D8E"/>
    <w:rsid w:val="00D95B36"/>
    <w:rsid w:val="00D97BD1"/>
    <w:rsid w:val="00DA021C"/>
    <w:rsid w:val="00DA02F3"/>
    <w:rsid w:val="00DA15EA"/>
    <w:rsid w:val="00DA175F"/>
    <w:rsid w:val="00DA41D8"/>
    <w:rsid w:val="00DA4BC2"/>
    <w:rsid w:val="00DA5F35"/>
    <w:rsid w:val="00DB02C4"/>
    <w:rsid w:val="00DB1553"/>
    <w:rsid w:val="00DB39F1"/>
    <w:rsid w:val="00DB7BCE"/>
    <w:rsid w:val="00DC015C"/>
    <w:rsid w:val="00DC0161"/>
    <w:rsid w:val="00DC1773"/>
    <w:rsid w:val="00DC36DA"/>
    <w:rsid w:val="00DC3B58"/>
    <w:rsid w:val="00DC401F"/>
    <w:rsid w:val="00DC6306"/>
    <w:rsid w:val="00DC6599"/>
    <w:rsid w:val="00DC699F"/>
    <w:rsid w:val="00DD03B4"/>
    <w:rsid w:val="00DD1A2D"/>
    <w:rsid w:val="00DD1E2E"/>
    <w:rsid w:val="00DD20DC"/>
    <w:rsid w:val="00DD28B8"/>
    <w:rsid w:val="00DD335C"/>
    <w:rsid w:val="00DD37BA"/>
    <w:rsid w:val="00DD383D"/>
    <w:rsid w:val="00DD4D1F"/>
    <w:rsid w:val="00DD4ED0"/>
    <w:rsid w:val="00DD5258"/>
    <w:rsid w:val="00DD6403"/>
    <w:rsid w:val="00DD647A"/>
    <w:rsid w:val="00DE2221"/>
    <w:rsid w:val="00DE2BD7"/>
    <w:rsid w:val="00DE2F92"/>
    <w:rsid w:val="00DE4E7A"/>
    <w:rsid w:val="00DE5C05"/>
    <w:rsid w:val="00DE77DE"/>
    <w:rsid w:val="00DF077B"/>
    <w:rsid w:val="00DF160E"/>
    <w:rsid w:val="00DF2F82"/>
    <w:rsid w:val="00DF382A"/>
    <w:rsid w:val="00DF4EF2"/>
    <w:rsid w:val="00DF5E44"/>
    <w:rsid w:val="00DF6324"/>
    <w:rsid w:val="00DF72F5"/>
    <w:rsid w:val="00E02178"/>
    <w:rsid w:val="00E04C93"/>
    <w:rsid w:val="00E0613F"/>
    <w:rsid w:val="00E076B0"/>
    <w:rsid w:val="00E10367"/>
    <w:rsid w:val="00E11A38"/>
    <w:rsid w:val="00E14C13"/>
    <w:rsid w:val="00E155D6"/>
    <w:rsid w:val="00E15F6B"/>
    <w:rsid w:val="00E17320"/>
    <w:rsid w:val="00E1755E"/>
    <w:rsid w:val="00E20415"/>
    <w:rsid w:val="00E233F5"/>
    <w:rsid w:val="00E2387E"/>
    <w:rsid w:val="00E26D47"/>
    <w:rsid w:val="00E26FDB"/>
    <w:rsid w:val="00E30E0F"/>
    <w:rsid w:val="00E31A6A"/>
    <w:rsid w:val="00E3226C"/>
    <w:rsid w:val="00E3590D"/>
    <w:rsid w:val="00E372CE"/>
    <w:rsid w:val="00E40C62"/>
    <w:rsid w:val="00E427F9"/>
    <w:rsid w:val="00E45223"/>
    <w:rsid w:val="00E45282"/>
    <w:rsid w:val="00E46F8D"/>
    <w:rsid w:val="00E47F0B"/>
    <w:rsid w:val="00E53924"/>
    <w:rsid w:val="00E542C1"/>
    <w:rsid w:val="00E603F9"/>
    <w:rsid w:val="00E66B19"/>
    <w:rsid w:val="00E71AF3"/>
    <w:rsid w:val="00E72F46"/>
    <w:rsid w:val="00E80C6A"/>
    <w:rsid w:val="00E85C7A"/>
    <w:rsid w:val="00E8622F"/>
    <w:rsid w:val="00E86309"/>
    <w:rsid w:val="00E87817"/>
    <w:rsid w:val="00E918C3"/>
    <w:rsid w:val="00E91985"/>
    <w:rsid w:val="00E92592"/>
    <w:rsid w:val="00E92EDF"/>
    <w:rsid w:val="00E96139"/>
    <w:rsid w:val="00EA014F"/>
    <w:rsid w:val="00EA1B8E"/>
    <w:rsid w:val="00EA1B98"/>
    <w:rsid w:val="00EA1BB7"/>
    <w:rsid w:val="00EA22EB"/>
    <w:rsid w:val="00EA3152"/>
    <w:rsid w:val="00EA43F6"/>
    <w:rsid w:val="00EA4807"/>
    <w:rsid w:val="00EA69A6"/>
    <w:rsid w:val="00EA7989"/>
    <w:rsid w:val="00EB18C9"/>
    <w:rsid w:val="00EB274E"/>
    <w:rsid w:val="00EB3075"/>
    <w:rsid w:val="00EB313D"/>
    <w:rsid w:val="00EB44CB"/>
    <w:rsid w:val="00EB4B7C"/>
    <w:rsid w:val="00EB62F2"/>
    <w:rsid w:val="00EB7F8C"/>
    <w:rsid w:val="00EC20FE"/>
    <w:rsid w:val="00EC3019"/>
    <w:rsid w:val="00EC37CD"/>
    <w:rsid w:val="00EC44B6"/>
    <w:rsid w:val="00EC6D49"/>
    <w:rsid w:val="00ED0894"/>
    <w:rsid w:val="00ED0DFB"/>
    <w:rsid w:val="00ED1EF0"/>
    <w:rsid w:val="00ED24CB"/>
    <w:rsid w:val="00ED2E36"/>
    <w:rsid w:val="00ED4F78"/>
    <w:rsid w:val="00ED5356"/>
    <w:rsid w:val="00ED74A6"/>
    <w:rsid w:val="00EE1AF6"/>
    <w:rsid w:val="00EE38F9"/>
    <w:rsid w:val="00EE4EFB"/>
    <w:rsid w:val="00EE5D9C"/>
    <w:rsid w:val="00EE5F52"/>
    <w:rsid w:val="00EE648B"/>
    <w:rsid w:val="00EE6C2F"/>
    <w:rsid w:val="00EE72D1"/>
    <w:rsid w:val="00EF005A"/>
    <w:rsid w:val="00EF2AD2"/>
    <w:rsid w:val="00EF4207"/>
    <w:rsid w:val="00EF5F59"/>
    <w:rsid w:val="00EF661F"/>
    <w:rsid w:val="00F000AD"/>
    <w:rsid w:val="00F00B30"/>
    <w:rsid w:val="00F0340C"/>
    <w:rsid w:val="00F0497B"/>
    <w:rsid w:val="00F0619B"/>
    <w:rsid w:val="00F06280"/>
    <w:rsid w:val="00F06326"/>
    <w:rsid w:val="00F068A5"/>
    <w:rsid w:val="00F12669"/>
    <w:rsid w:val="00F12E0F"/>
    <w:rsid w:val="00F14AE8"/>
    <w:rsid w:val="00F15D23"/>
    <w:rsid w:val="00F16C76"/>
    <w:rsid w:val="00F201E6"/>
    <w:rsid w:val="00F21058"/>
    <w:rsid w:val="00F2184F"/>
    <w:rsid w:val="00F22C61"/>
    <w:rsid w:val="00F22DD6"/>
    <w:rsid w:val="00F23C73"/>
    <w:rsid w:val="00F251E6"/>
    <w:rsid w:val="00F268F1"/>
    <w:rsid w:val="00F274FB"/>
    <w:rsid w:val="00F27F29"/>
    <w:rsid w:val="00F33CA1"/>
    <w:rsid w:val="00F3475D"/>
    <w:rsid w:val="00F35843"/>
    <w:rsid w:val="00F36047"/>
    <w:rsid w:val="00F3741C"/>
    <w:rsid w:val="00F3793E"/>
    <w:rsid w:val="00F4186E"/>
    <w:rsid w:val="00F4375B"/>
    <w:rsid w:val="00F44BD4"/>
    <w:rsid w:val="00F44C48"/>
    <w:rsid w:val="00F4510F"/>
    <w:rsid w:val="00F45D91"/>
    <w:rsid w:val="00F45F31"/>
    <w:rsid w:val="00F5177D"/>
    <w:rsid w:val="00F546DA"/>
    <w:rsid w:val="00F54A0E"/>
    <w:rsid w:val="00F54D91"/>
    <w:rsid w:val="00F567BF"/>
    <w:rsid w:val="00F5694F"/>
    <w:rsid w:val="00F56999"/>
    <w:rsid w:val="00F56D3B"/>
    <w:rsid w:val="00F56D8A"/>
    <w:rsid w:val="00F5776F"/>
    <w:rsid w:val="00F604A3"/>
    <w:rsid w:val="00F60686"/>
    <w:rsid w:val="00F60A2B"/>
    <w:rsid w:val="00F6154B"/>
    <w:rsid w:val="00F6397C"/>
    <w:rsid w:val="00F63D6F"/>
    <w:rsid w:val="00F63F9E"/>
    <w:rsid w:val="00F66AF8"/>
    <w:rsid w:val="00F70E35"/>
    <w:rsid w:val="00F712FB"/>
    <w:rsid w:val="00F7330C"/>
    <w:rsid w:val="00F73440"/>
    <w:rsid w:val="00F735DC"/>
    <w:rsid w:val="00F74202"/>
    <w:rsid w:val="00F80987"/>
    <w:rsid w:val="00F80AE7"/>
    <w:rsid w:val="00F81417"/>
    <w:rsid w:val="00F81E18"/>
    <w:rsid w:val="00F822CD"/>
    <w:rsid w:val="00F8316C"/>
    <w:rsid w:val="00F8441F"/>
    <w:rsid w:val="00F8594A"/>
    <w:rsid w:val="00F879C5"/>
    <w:rsid w:val="00F87C1F"/>
    <w:rsid w:val="00F904CF"/>
    <w:rsid w:val="00F921A8"/>
    <w:rsid w:val="00F921E0"/>
    <w:rsid w:val="00F92C59"/>
    <w:rsid w:val="00F9318A"/>
    <w:rsid w:val="00F944C9"/>
    <w:rsid w:val="00F9463B"/>
    <w:rsid w:val="00F94E05"/>
    <w:rsid w:val="00F9668B"/>
    <w:rsid w:val="00F9674F"/>
    <w:rsid w:val="00F976EC"/>
    <w:rsid w:val="00FA004B"/>
    <w:rsid w:val="00FA0940"/>
    <w:rsid w:val="00FA0D97"/>
    <w:rsid w:val="00FA1B19"/>
    <w:rsid w:val="00FA421A"/>
    <w:rsid w:val="00FA540F"/>
    <w:rsid w:val="00FB06FB"/>
    <w:rsid w:val="00FB1975"/>
    <w:rsid w:val="00FB1A30"/>
    <w:rsid w:val="00FB4E23"/>
    <w:rsid w:val="00FB6197"/>
    <w:rsid w:val="00FC2E0D"/>
    <w:rsid w:val="00FD1246"/>
    <w:rsid w:val="00FD1747"/>
    <w:rsid w:val="00FD3EE5"/>
    <w:rsid w:val="00FD5401"/>
    <w:rsid w:val="00FD6DB2"/>
    <w:rsid w:val="00FD7F12"/>
    <w:rsid w:val="00FE0304"/>
    <w:rsid w:val="00FE07E7"/>
    <w:rsid w:val="00FE3692"/>
    <w:rsid w:val="00FE3B2E"/>
    <w:rsid w:val="00FE530A"/>
    <w:rsid w:val="00FE6990"/>
    <w:rsid w:val="00FE6A10"/>
    <w:rsid w:val="00FE7AAC"/>
    <w:rsid w:val="00FF29DE"/>
    <w:rsid w:val="00FF357E"/>
    <w:rsid w:val="00FF3E72"/>
    <w:rsid w:val="00FF4452"/>
    <w:rsid w:val="00FF4E5D"/>
    <w:rsid w:val="00FF6560"/>
    <w:rsid w:val="00FF6715"/>
    <w:rsid w:val="00FF7C8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EABA8"/>
  <w15:chartTrackingRefBased/>
  <w15:docId w15:val="{9DC8FAC6-46EA-4815-9C2B-12464850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BDE"/>
  </w:style>
  <w:style w:type="paragraph" w:styleId="Heading1">
    <w:name w:val="heading 1"/>
    <w:basedOn w:val="Title"/>
    <w:next w:val="Normal"/>
    <w:link w:val="Heading1Char"/>
    <w:uiPriority w:val="9"/>
    <w:qFormat/>
    <w:rsid w:val="008B7E9D"/>
    <w:pPr>
      <w:outlineLvl w:val="0"/>
    </w:pPr>
    <w:rPr>
      <w:b/>
      <w:color w:val="808080" w:themeColor="background1" w:themeShade="80"/>
    </w:rPr>
  </w:style>
  <w:style w:type="paragraph" w:styleId="Heading2">
    <w:name w:val="heading 2"/>
    <w:basedOn w:val="Heading1"/>
    <w:next w:val="Normal"/>
    <w:link w:val="Heading2Char"/>
    <w:uiPriority w:val="9"/>
    <w:unhideWhenUsed/>
    <w:qFormat/>
    <w:rsid w:val="008B7E9D"/>
    <w:pPr>
      <w:spacing w:after="240"/>
      <w:outlineLvl w:val="1"/>
    </w:pPr>
    <w:rPr>
      <w:color w:val="auto"/>
      <w:sz w:val="48"/>
      <w:szCs w:val="48"/>
    </w:rPr>
  </w:style>
  <w:style w:type="paragraph" w:styleId="Heading3">
    <w:name w:val="heading 3"/>
    <w:basedOn w:val="Heading2"/>
    <w:next w:val="Normal"/>
    <w:link w:val="Heading3Char"/>
    <w:uiPriority w:val="9"/>
    <w:unhideWhenUsed/>
    <w:qFormat/>
    <w:rsid w:val="008B7E9D"/>
    <w:pPr>
      <w:outlineLvl w:val="2"/>
    </w:pPr>
    <w:rPr>
      <w:sz w:val="32"/>
      <w:szCs w:val="32"/>
    </w:rPr>
  </w:style>
  <w:style w:type="paragraph" w:styleId="Heading4">
    <w:name w:val="heading 4"/>
    <w:basedOn w:val="Normal"/>
    <w:next w:val="Normal"/>
    <w:link w:val="Heading4Char"/>
    <w:uiPriority w:val="9"/>
    <w:unhideWhenUsed/>
    <w:qFormat/>
    <w:rsid w:val="00096769"/>
    <w:pPr>
      <w:jc w:val="both"/>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3F8"/>
    <w:pPr>
      <w:ind w:left="720"/>
      <w:contextualSpacing/>
    </w:pPr>
  </w:style>
  <w:style w:type="paragraph" w:styleId="Title">
    <w:name w:val="Title"/>
    <w:basedOn w:val="Normal"/>
    <w:next w:val="Normal"/>
    <w:link w:val="TitleChar"/>
    <w:uiPriority w:val="10"/>
    <w:qFormat/>
    <w:rsid w:val="001920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0E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55B91"/>
    <w:pPr>
      <w:spacing w:after="0" w:line="240" w:lineRule="auto"/>
    </w:pPr>
    <w:rPr>
      <w:lang w:val="en-GB"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E9D"/>
    <w:rPr>
      <w:rFonts w:asciiTheme="majorHAnsi" w:eastAsiaTheme="majorEastAsia" w:hAnsiTheme="majorHAnsi" w:cstheme="majorBidi"/>
      <w:b/>
      <w:color w:val="808080" w:themeColor="background1" w:themeShade="80"/>
      <w:spacing w:val="-10"/>
      <w:kern w:val="28"/>
      <w:sz w:val="56"/>
      <w:szCs w:val="56"/>
    </w:rPr>
  </w:style>
  <w:style w:type="character" w:customStyle="1" w:styleId="Heading2Char">
    <w:name w:val="Heading 2 Char"/>
    <w:basedOn w:val="DefaultParagraphFont"/>
    <w:link w:val="Heading2"/>
    <w:uiPriority w:val="9"/>
    <w:rsid w:val="008B7E9D"/>
    <w:rPr>
      <w:rFonts w:asciiTheme="majorHAnsi" w:eastAsiaTheme="majorEastAsia" w:hAnsiTheme="majorHAnsi" w:cstheme="majorBidi"/>
      <w:b/>
      <w:spacing w:val="-10"/>
      <w:kern w:val="28"/>
      <w:sz w:val="48"/>
      <w:szCs w:val="48"/>
    </w:rPr>
  </w:style>
  <w:style w:type="paragraph" w:styleId="BalloonText">
    <w:name w:val="Balloon Text"/>
    <w:basedOn w:val="Normal"/>
    <w:link w:val="BalloonTextChar"/>
    <w:uiPriority w:val="99"/>
    <w:semiHidden/>
    <w:unhideWhenUsed/>
    <w:rsid w:val="00F57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76F"/>
    <w:rPr>
      <w:rFonts w:ascii="Segoe UI" w:hAnsi="Segoe UI" w:cs="Segoe UI"/>
      <w:sz w:val="18"/>
      <w:szCs w:val="18"/>
    </w:rPr>
  </w:style>
  <w:style w:type="paragraph" w:styleId="Header">
    <w:name w:val="header"/>
    <w:basedOn w:val="Normal"/>
    <w:link w:val="HeaderChar"/>
    <w:uiPriority w:val="99"/>
    <w:unhideWhenUsed/>
    <w:rsid w:val="00CA2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34"/>
  </w:style>
  <w:style w:type="paragraph" w:styleId="Footer">
    <w:name w:val="footer"/>
    <w:basedOn w:val="Normal"/>
    <w:link w:val="FooterChar"/>
    <w:uiPriority w:val="99"/>
    <w:unhideWhenUsed/>
    <w:rsid w:val="00CA2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34"/>
  </w:style>
  <w:style w:type="paragraph" w:styleId="TOCHeading">
    <w:name w:val="TOC Heading"/>
    <w:basedOn w:val="Heading1"/>
    <w:next w:val="Normal"/>
    <w:uiPriority w:val="39"/>
    <w:unhideWhenUsed/>
    <w:qFormat/>
    <w:rsid w:val="008B7E9D"/>
    <w:pPr>
      <w:outlineLvl w:val="9"/>
    </w:pPr>
    <w:rPr>
      <w:color w:val="1F4E79" w:themeColor="accent1" w:themeShade="80"/>
      <w:sz w:val="32"/>
      <w:szCs w:val="32"/>
    </w:rPr>
  </w:style>
  <w:style w:type="paragraph" w:styleId="TOC1">
    <w:name w:val="toc 1"/>
    <w:basedOn w:val="Normal"/>
    <w:next w:val="Normal"/>
    <w:autoRedefine/>
    <w:uiPriority w:val="39"/>
    <w:unhideWhenUsed/>
    <w:rsid w:val="008B7E9D"/>
    <w:pPr>
      <w:spacing w:after="100"/>
    </w:pPr>
  </w:style>
  <w:style w:type="paragraph" w:styleId="TOC2">
    <w:name w:val="toc 2"/>
    <w:basedOn w:val="Normal"/>
    <w:next w:val="Normal"/>
    <w:autoRedefine/>
    <w:uiPriority w:val="39"/>
    <w:unhideWhenUsed/>
    <w:rsid w:val="008B7E9D"/>
    <w:pPr>
      <w:spacing w:after="100"/>
      <w:ind w:left="220"/>
    </w:pPr>
  </w:style>
  <w:style w:type="character" w:styleId="Hyperlink">
    <w:name w:val="Hyperlink"/>
    <w:basedOn w:val="DefaultParagraphFont"/>
    <w:uiPriority w:val="99"/>
    <w:unhideWhenUsed/>
    <w:rsid w:val="008B7E9D"/>
    <w:rPr>
      <w:color w:val="0563C1" w:themeColor="hyperlink"/>
      <w:u w:val="single"/>
    </w:rPr>
  </w:style>
  <w:style w:type="character" w:customStyle="1" w:styleId="Heading3Char">
    <w:name w:val="Heading 3 Char"/>
    <w:basedOn w:val="DefaultParagraphFont"/>
    <w:link w:val="Heading3"/>
    <w:rsid w:val="008B7E9D"/>
    <w:rPr>
      <w:rFonts w:asciiTheme="majorHAnsi" w:eastAsiaTheme="majorEastAsia" w:hAnsiTheme="majorHAnsi" w:cstheme="majorBidi"/>
      <w:b/>
      <w:spacing w:val="-10"/>
      <w:kern w:val="28"/>
      <w:sz w:val="32"/>
      <w:szCs w:val="32"/>
    </w:rPr>
  </w:style>
  <w:style w:type="character" w:customStyle="1" w:styleId="Heading4Char">
    <w:name w:val="Heading 4 Char"/>
    <w:basedOn w:val="DefaultParagraphFont"/>
    <w:link w:val="Heading4"/>
    <w:uiPriority w:val="9"/>
    <w:rsid w:val="00096769"/>
    <w:rPr>
      <w:b/>
      <w:i/>
    </w:rPr>
  </w:style>
  <w:style w:type="paragraph" w:styleId="TOC3">
    <w:name w:val="toc 3"/>
    <w:basedOn w:val="Normal"/>
    <w:next w:val="Normal"/>
    <w:autoRedefine/>
    <w:uiPriority w:val="39"/>
    <w:unhideWhenUsed/>
    <w:rsid w:val="008D23E4"/>
    <w:pPr>
      <w:spacing w:after="100"/>
      <w:ind w:left="440"/>
    </w:pPr>
  </w:style>
  <w:style w:type="character" w:customStyle="1" w:styleId="UnresolvedMention1">
    <w:name w:val="Unresolved Mention1"/>
    <w:basedOn w:val="DefaultParagraphFont"/>
    <w:uiPriority w:val="99"/>
    <w:semiHidden/>
    <w:unhideWhenUsed/>
    <w:rsid w:val="00CF0A47"/>
    <w:rPr>
      <w:color w:val="605E5C"/>
      <w:shd w:val="clear" w:color="auto" w:fill="E1DFDD"/>
    </w:rPr>
  </w:style>
  <w:style w:type="character" w:styleId="CommentReference">
    <w:name w:val="annotation reference"/>
    <w:basedOn w:val="DefaultParagraphFont"/>
    <w:uiPriority w:val="99"/>
    <w:semiHidden/>
    <w:unhideWhenUsed/>
    <w:rsid w:val="00AA0E03"/>
    <w:rPr>
      <w:sz w:val="16"/>
      <w:szCs w:val="16"/>
    </w:rPr>
  </w:style>
  <w:style w:type="paragraph" w:styleId="CommentText">
    <w:name w:val="annotation text"/>
    <w:basedOn w:val="Normal"/>
    <w:link w:val="CommentTextChar"/>
    <w:uiPriority w:val="99"/>
    <w:semiHidden/>
    <w:unhideWhenUsed/>
    <w:rsid w:val="00AA0E03"/>
    <w:pPr>
      <w:spacing w:line="240" w:lineRule="auto"/>
    </w:pPr>
    <w:rPr>
      <w:sz w:val="20"/>
      <w:szCs w:val="20"/>
    </w:rPr>
  </w:style>
  <w:style w:type="character" w:customStyle="1" w:styleId="CommentTextChar">
    <w:name w:val="Comment Text Char"/>
    <w:basedOn w:val="DefaultParagraphFont"/>
    <w:link w:val="CommentText"/>
    <w:uiPriority w:val="99"/>
    <w:semiHidden/>
    <w:rsid w:val="00AA0E03"/>
    <w:rPr>
      <w:sz w:val="20"/>
      <w:szCs w:val="20"/>
    </w:rPr>
  </w:style>
  <w:style w:type="paragraph" w:styleId="CommentSubject">
    <w:name w:val="annotation subject"/>
    <w:basedOn w:val="CommentText"/>
    <w:next w:val="CommentText"/>
    <w:link w:val="CommentSubjectChar"/>
    <w:uiPriority w:val="99"/>
    <w:semiHidden/>
    <w:unhideWhenUsed/>
    <w:rsid w:val="00AA0E03"/>
    <w:rPr>
      <w:b/>
      <w:bCs/>
    </w:rPr>
  </w:style>
  <w:style w:type="character" w:customStyle="1" w:styleId="CommentSubjectChar">
    <w:name w:val="Comment Subject Char"/>
    <w:basedOn w:val="CommentTextChar"/>
    <w:link w:val="CommentSubject"/>
    <w:uiPriority w:val="99"/>
    <w:semiHidden/>
    <w:rsid w:val="00AA0E03"/>
    <w:rPr>
      <w:b/>
      <w:bCs/>
      <w:sz w:val="20"/>
      <w:szCs w:val="20"/>
    </w:rPr>
  </w:style>
  <w:style w:type="paragraph" w:styleId="Revision">
    <w:name w:val="Revision"/>
    <w:hidden/>
    <w:uiPriority w:val="99"/>
    <w:semiHidden/>
    <w:rsid w:val="00290BC0"/>
    <w:pPr>
      <w:spacing w:after="0" w:line="240" w:lineRule="auto"/>
    </w:pPr>
  </w:style>
  <w:style w:type="paragraph" w:styleId="FootnoteText">
    <w:name w:val="footnote text"/>
    <w:aliases w:val="Geneva 9,Font: Geneva 9,Boston 10,f,single space,Footnote Text Char1,Footnote Text Char Char,Footnote Text Char1 Char Char,Footnote Text Char Char Char Char,Char Char Char Char Char,Char Char Char,Font: Geneva,Char Char Cha"/>
    <w:basedOn w:val="Normal"/>
    <w:link w:val="FootnoteTextChar"/>
    <w:semiHidden/>
    <w:unhideWhenUsed/>
    <w:rsid w:val="006148C6"/>
    <w:pPr>
      <w:spacing w:after="0" w:line="240" w:lineRule="auto"/>
    </w:pPr>
    <w:rPr>
      <w:sz w:val="20"/>
      <w:szCs w:val="20"/>
    </w:rPr>
  </w:style>
  <w:style w:type="character" w:customStyle="1" w:styleId="FootnoteTextChar">
    <w:name w:val="Footnote Text Char"/>
    <w:aliases w:val="Geneva 9 Char1,Font: Geneva 9 Char1,Boston 10 Char1,f Char1,single space Char1,Footnote Text Char1 Char1,Footnote Text Char Char Char1,Footnote Text Char1 Char Char Char1,Footnote Text Char Char Char Char Char1,Char Char Char Char"/>
    <w:basedOn w:val="DefaultParagraphFont"/>
    <w:link w:val="FootnoteText"/>
    <w:uiPriority w:val="99"/>
    <w:semiHidden/>
    <w:rsid w:val="006148C6"/>
    <w:rPr>
      <w:sz w:val="20"/>
      <w:szCs w:val="20"/>
    </w:rPr>
  </w:style>
  <w:style w:type="character" w:styleId="FootnoteReference">
    <w:name w:val="footnote reference"/>
    <w:aliases w:val="16 Point,Superscript 6 Point,ftref,Superscript 6 Point + 11 pt,BVI fnr,BVI fnr Car Car,BVI fnr Car,BVI fnr Car Car Car Car,Footnote text,Footnotes refss,Footnote Reference1"/>
    <w:basedOn w:val="DefaultParagraphFont"/>
    <w:semiHidden/>
    <w:unhideWhenUsed/>
    <w:rsid w:val="006148C6"/>
    <w:rPr>
      <w:vertAlign w:val="superscript"/>
    </w:rPr>
  </w:style>
  <w:style w:type="character" w:customStyle="1" w:styleId="UnresolvedMention2">
    <w:name w:val="Unresolved Mention2"/>
    <w:basedOn w:val="DefaultParagraphFont"/>
    <w:uiPriority w:val="99"/>
    <w:semiHidden/>
    <w:unhideWhenUsed/>
    <w:rsid w:val="00CE22B4"/>
    <w:rPr>
      <w:color w:val="605E5C"/>
      <w:shd w:val="clear" w:color="auto" w:fill="E1DFDD"/>
    </w:rPr>
  </w:style>
  <w:style w:type="paragraph" w:customStyle="1" w:styleId="Default">
    <w:name w:val="Default"/>
    <w:rsid w:val="008973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noteTextChar2">
    <w:name w:val="Footnote Text Char2"/>
    <w:aliases w:val="Geneva 9 Char,Font: Geneva 9 Char,Boston 10 Char,f Char,single space Char,Footnote Text Char1 Char,Footnote Text Char Char Char,Footnote Text Char1 Char Char Char,Footnote Text Char Char Char Char Char,Char Char Char Char Char Char"/>
    <w:basedOn w:val="DefaultParagraphFont"/>
    <w:semiHidden/>
    <w:rsid w:val="008973DD"/>
    <w:rPr>
      <w:lang w:val="en-GB" w:eastAsia="en-US" w:bidi="ar-SA"/>
    </w:rPr>
  </w:style>
  <w:style w:type="table" w:customStyle="1" w:styleId="TableGrid1">
    <w:name w:val="Table Grid1"/>
    <w:basedOn w:val="TableNormal"/>
    <w:next w:val="TableGrid"/>
    <w:rsid w:val="008973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08256">
      <w:bodyDiv w:val="1"/>
      <w:marLeft w:val="0"/>
      <w:marRight w:val="0"/>
      <w:marTop w:val="0"/>
      <w:marBottom w:val="0"/>
      <w:divBdr>
        <w:top w:val="none" w:sz="0" w:space="0" w:color="auto"/>
        <w:left w:val="none" w:sz="0" w:space="0" w:color="auto"/>
        <w:bottom w:val="none" w:sz="0" w:space="0" w:color="auto"/>
        <w:right w:val="none" w:sz="0" w:space="0" w:color="auto"/>
      </w:divBdr>
      <w:divsChild>
        <w:div w:id="594364505">
          <w:marLeft w:val="0"/>
          <w:marRight w:val="0"/>
          <w:marTop w:val="0"/>
          <w:marBottom w:val="0"/>
          <w:divBdr>
            <w:top w:val="none" w:sz="0" w:space="0" w:color="auto"/>
            <w:left w:val="none" w:sz="0" w:space="0" w:color="auto"/>
            <w:bottom w:val="none" w:sz="0" w:space="0" w:color="auto"/>
            <w:right w:val="none" w:sz="0" w:space="0" w:color="auto"/>
          </w:divBdr>
          <w:divsChild>
            <w:div w:id="760494472">
              <w:marLeft w:val="0"/>
              <w:marRight w:val="0"/>
              <w:marTop w:val="0"/>
              <w:marBottom w:val="0"/>
              <w:divBdr>
                <w:top w:val="none" w:sz="0" w:space="0" w:color="auto"/>
                <w:left w:val="none" w:sz="0" w:space="0" w:color="auto"/>
                <w:bottom w:val="none" w:sz="0" w:space="0" w:color="auto"/>
                <w:right w:val="none" w:sz="0" w:space="0" w:color="auto"/>
              </w:divBdr>
              <w:divsChild>
                <w:div w:id="1763064147">
                  <w:marLeft w:val="0"/>
                  <w:marRight w:val="0"/>
                  <w:marTop w:val="0"/>
                  <w:marBottom w:val="0"/>
                  <w:divBdr>
                    <w:top w:val="none" w:sz="0" w:space="0" w:color="auto"/>
                    <w:left w:val="none" w:sz="0" w:space="0" w:color="auto"/>
                    <w:bottom w:val="none" w:sz="0" w:space="0" w:color="auto"/>
                    <w:right w:val="none" w:sz="0" w:space="0" w:color="auto"/>
                  </w:divBdr>
                  <w:divsChild>
                    <w:div w:id="83651291">
                      <w:marLeft w:val="0"/>
                      <w:marRight w:val="0"/>
                      <w:marTop w:val="0"/>
                      <w:marBottom w:val="498"/>
                      <w:divBdr>
                        <w:top w:val="none" w:sz="0" w:space="0" w:color="auto"/>
                        <w:left w:val="none" w:sz="0" w:space="0" w:color="auto"/>
                        <w:bottom w:val="none" w:sz="0" w:space="0" w:color="auto"/>
                        <w:right w:val="none" w:sz="0" w:space="0" w:color="auto"/>
                      </w:divBdr>
                      <w:divsChild>
                        <w:div w:id="1452624174">
                          <w:marLeft w:val="0"/>
                          <w:marRight w:val="0"/>
                          <w:marTop w:val="0"/>
                          <w:marBottom w:val="0"/>
                          <w:divBdr>
                            <w:top w:val="none" w:sz="0" w:space="0" w:color="auto"/>
                            <w:left w:val="none" w:sz="0" w:space="0" w:color="auto"/>
                            <w:bottom w:val="none" w:sz="0" w:space="0" w:color="auto"/>
                            <w:right w:val="none" w:sz="0" w:space="0" w:color="auto"/>
                          </w:divBdr>
                        </w:div>
                        <w:div w:id="2670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545706">
      <w:bodyDiv w:val="1"/>
      <w:marLeft w:val="0"/>
      <w:marRight w:val="0"/>
      <w:marTop w:val="0"/>
      <w:marBottom w:val="0"/>
      <w:divBdr>
        <w:top w:val="none" w:sz="0" w:space="0" w:color="auto"/>
        <w:left w:val="none" w:sz="0" w:space="0" w:color="auto"/>
        <w:bottom w:val="none" w:sz="0" w:space="0" w:color="auto"/>
        <w:right w:val="none" w:sz="0" w:space="0" w:color="auto"/>
      </w:divBdr>
    </w:div>
    <w:div w:id="442960628">
      <w:bodyDiv w:val="1"/>
      <w:marLeft w:val="0"/>
      <w:marRight w:val="0"/>
      <w:marTop w:val="0"/>
      <w:marBottom w:val="0"/>
      <w:divBdr>
        <w:top w:val="none" w:sz="0" w:space="0" w:color="auto"/>
        <w:left w:val="none" w:sz="0" w:space="0" w:color="auto"/>
        <w:bottom w:val="none" w:sz="0" w:space="0" w:color="auto"/>
        <w:right w:val="none" w:sz="0" w:space="0" w:color="auto"/>
      </w:divBdr>
    </w:div>
    <w:div w:id="598375313">
      <w:bodyDiv w:val="1"/>
      <w:marLeft w:val="0"/>
      <w:marRight w:val="0"/>
      <w:marTop w:val="0"/>
      <w:marBottom w:val="0"/>
      <w:divBdr>
        <w:top w:val="none" w:sz="0" w:space="0" w:color="auto"/>
        <w:left w:val="none" w:sz="0" w:space="0" w:color="auto"/>
        <w:bottom w:val="none" w:sz="0" w:space="0" w:color="auto"/>
        <w:right w:val="none" w:sz="0" w:space="0" w:color="auto"/>
      </w:divBdr>
    </w:div>
    <w:div w:id="876502967">
      <w:bodyDiv w:val="1"/>
      <w:marLeft w:val="0"/>
      <w:marRight w:val="0"/>
      <w:marTop w:val="0"/>
      <w:marBottom w:val="0"/>
      <w:divBdr>
        <w:top w:val="none" w:sz="0" w:space="0" w:color="auto"/>
        <w:left w:val="none" w:sz="0" w:space="0" w:color="auto"/>
        <w:bottom w:val="none" w:sz="0" w:space="0" w:color="auto"/>
        <w:right w:val="none" w:sz="0" w:space="0" w:color="auto"/>
      </w:divBdr>
    </w:div>
    <w:div w:id="1210611865">
      <w:bodyDiv w:val="1"/>
      <w:marLeft w:val="0"/>
      <w:marRight w:val="0"/>
      <w:marTop w:val="0"/>
      <w:marBottom w:val="0"/>
      <w:divBdr>
        <w:top w:val="none" w:sz="0" w:space="0" w:color="auto"/>
        <w:left w:val="none" w:sz="0" w:space="0" w:color="auto"/>
        <w:bottom w:val="none" w:sz="0" w:space="0" w:color="auto"/>
        <w:right w:val="none" w:sz="0" w:space="0" w:color="auto"/>
      </w:divBdr>
      <w:divsChild>
        <w:div w:id="130289677">
          <w:marLeft w:val="0"/>
          <w:marRight w:val="0"/>
          <w:marTop w:val="0"/>
          <w:marBottom w:val="0"/>
          <w:divBdr>
            <w:top w:val="none" w:sz="0" w:space="0" w:color="auto"/>
            <w:left w:val="none" w:sz="0" w:space="0" w:color="auto"/>
            <w:bottom w:val="none" w:sz="0" w:space="0" w:color="auto"/>
            <w:right w:val="none" w:sz="0" w:space="0" w:color="auto"/>
          </w:divBdr>
          <w:divsChild>
            <w:div w:id="194926515">
              <w:marLeft w:val="0"/>
              <w:marRight w:val="0"/>
              <w:marTop w:val="0"/>
              <w:marBottom w:val="0"/>
              <w:divBdr>
                <w:top w:val="none" w:sz="0" w:space="0" w:color="auto"/>
                <w:left w:val="none" w:sz="0" w:space="0" w:color="auto"/>
                <w:bottom w:val="none" w:sz="0" w:space="0" w:color="auto"/>
                <w:right w:val="none" w:sz="0" w:space="0" w:color="auto"/>
              </w:divBdr>
              <w:divsChild>
                <w:div w:id="1606231877">
                  <w:marLeft w:val="0"/>
                  <w:marRight w:val="0"/>
                  <w:marTop w:val="0"/>
                  <w:marBottom w:val="0"/>
                  <w:divBdr>
                    <w:top w:val="none" w:sz="0" w:space="0" w:color="auto"/>
                    <w:left w:val="none" w:sz="0" w:space="0" w:color="auto"/>
                    <w:bottom w:val="none" w:sz="0" w:space="0" w:color="auto"/>
                    <w:right w:val="none" w:sz="0" w:space="0" w:color="auto"/>
                  </w:divBdr>
                  <w:divsChild>
                    <w:div w:id="1089499146">
                      <w:marLeft w:val="0"/>
                      <w:marRight w:val="0"/>
                      <w:marTop w:val="0"/>
                      <w:marBottom w:val="498"/>
                      <w:divBdr>
                        <w:top w:val="none" w:sz="0" w:space="0" w:color="auto"/>
                        <w:left w:val="none" w:sz="0" w:space="0" w:color="auto"/>
                        <w:bottom w:val="none" w:sz="0" w:space="0" w:color="auto"/>
                        <w:right w:val="none" w:sz="0" w:space="0" w:color="auto"/>
                      </w:divBdr>
                      <w:divsChild>
                        <w:div w:id="1863199500">
                          <w:marLeft w:val="0"/>
                          <w:marRight w:val="0"/>
                          <w:marTop w:val="0"/>
                          <w:marBottom w:val="0"/>
                          <w:divBdr>
                            <w:top w:val="none" w:sz="0" w:space="0" w:color="auto"/>
                            <w:left w:val="none" w:sz="0" w:space="0" w:color="auto"/>
                            <w:bottom w:val="none" w:sz="0" w:space="0" w:color="auto"/>
                            <w:right w:val="none" w:sz="0" w:space="0" w:color="auto"/>
                          </w:divBdr>
                        </w:div>
                        <w:div w:id="2762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230060">
      <w:bodyDiv w:val="1"/>
      <w:marLeft w:val="0"/>
      <w:marRight w:val="0"/>
      <w:marTop w:val="0"/>
      <w:marBottom w:val="0"/>
      <w:divBdr>
        <w:top w:val="none" w:sz="0" w:space="0" w:color="auto"/>
        <w:left w:val="none" w:sz="0" w:space="0" w:color="auto"/>
        <w:bottom w:val="none" w:sz="0" w:space="0" w:color="auto"/>
        <w:right w:val="none" w:sz="0" w:space="0" w:color="auto"/>
      </w:divBdr>
    </w:div>
    <w:div w:id="1940916603">
      <w:bodyDiv w:val="1"/>
      <w:marLeft w:val="0"/>
      <w:marRight w:val="0"/>
      <w:marTop w:val="0"/>
      <w:marBottom w:val="0"/>
      <w:divBdr>
        <w:top w:val="none" w:sz="0" w:space="0" w:color="auto"/>
        <w:left w:val="none" w:sz="0" w:space="0" w:color="auto"/>
        <w:bottom w:val="none" w:sz="0" w:space="0" w:color="auto"/>
        <w:right w:val="none" w:sz="0" w:space="0" w:color="auto"/>
      </w:divBdr>
    </w:div>
    <w:div w:id="19888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ovamedia.nl/about-charity-lotteries/the-netherlands/dutch-postcode-lottery"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www.weforum.org/agenda/2017/07/what-are-green-bonds-explainer" TargetMode="External"/><Relationship Id="rId20"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vamedia.nl/about-charity-lotteries/the-netherlands/dutch-postcode-lottery" TargetMode="External"/><Relationship Id="rId5" Type="http://schemas.openxmlformats.org/officeDocument/2006/relationships/webSettings" Target="webSettings.xml"/><Relationship Id="rId15" Type="http://schemas.openxmlformats.org/officeDocument/2006/relationships/hyperlink" Target="https://www.weforum.org/agenda/2017/07/what-are-green-bonds-explainer"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ilmahconservation.org/" TargetMode="External"/><Relationship Id="rId2" Type="http://schemas.openxmlformats.org/officeDocument/2006/relationships/hyperlink" Target="http://www.jetwinghotels.com/sustainability/biodiversity/" TargetMode="External"/><Relationship Id="rId1" Type="http://schemas.openxmlformats.org/officeDocument/2006/relationships/hyperlink" Target="http://www.scp.mmde.gov.lk/resources/5c3ca9ad1004923169.pdf" TargetMode="External"/><Relationship Id="rId4" Type="http://schemas.openxmlformats.org/officeDocument/2006/relationships/hyperlink" Target="https://www.nationstrust.com/about/responsible-banking/timeline-of-project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a:solidFill>
                  <a:sysClr val="windowText" lastClr="000000"/>
                </a:solidFill>
              </a:rPr>
              <a:t>Figure 1: Tourist Arrivals 2008-2017 </a:t>
            </a:r>
          </a:p>
        </c:rich>
      </c:tx>
      <c:layout>
        <c:manualLayout>
          <c:xMode val="edge"/>
          <c:yMode val="edge"/>
          <c:x val="0.24647798742138363"/>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4919551329668698"/>
          <c:y val="0.17171296296296296"/>
          <c:w val="0.81621329173475954"/>
          <c:h val="0.63660505978419368"/>
        </c:manualLayout>
      </c:layout>
      <c:barChart>
        <c:barDir val="col"/>
        <c:grouping val="clustered"/>
        <c:varyColors val="0"/>
        <c:ser>
          <c:idx val="0"/>
          <c:order val="0"/>
          <c:tx>
            <c:strRef>
              <c:f>'SST(A)'!$A$3</c:f>
              <c:strCache>
                <c:ptCount val="1"/>
                <c:pt idx="0">
                  <c:v>Tourist Arrivals (millions) </c:v>
                </c:pt>
              </c:strCache>
            </c:strRef>
          </c:tx>
          <c:spPr>
            <a:solidFill>
              <a:schemeClr val="accent1"/>
            </a:solidFill>
            <a:ln>
              <a:noFill/>
            </a:ln>
            <a:effectLst/>
          </c:spPr>
          <c:invertIfNegative val="0"/>
          <c:cat>
            <c:numRef>
              <c:f>'SST(A)'!$B$2:$K$2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'SST(A)'!$B$3:$K$3</c:f>
              <c:numCache>
                <c:formatCode>General</c:formatCode>
                <c:ptCount val="10"/>
                <c:pt idx="0">
                  <c:v>0.438475</c:v>
                </c:pt>
                <c:pt idx="1">
                  <c:v>0.44789000000000001</c:v>
                </c:pt>
                <c:pt idx="2">
                  <c:v>0.65447599999999995</c:v>
                </c:pt>
                <c:pt idx="3">
                  <c:v>0.85597500000000004</c:v>
                </c:pt>
                <c:pt idx="4">
                  <c:v>1.0056050000000001</c:v>
                </c:pt>
                <c:pt idx="5">
                  <c:v>1.2745930000000001</c:v>
                </c:pt>
                <c:pt idx="6">
                  <c:v>1.527153</c:v>
                </c:pt>
                <c:pt idx="7">
                  <c:v>1.7983800000000001</c:v>
                </c:pt>
                <c:pt idx="8">
                  <c:v>2.0508320000000002</c:v>
                </c:pt>
                <c:pt idx="9">
                  <c:v>2.1164070000000001</c:v>
                </c:pt>
              </c:numCache>
            </c:numRef>
          </c:val>
          <c:extLst>
            <c:ext xmlns:c16="http://schemas.microsoft.com/office/drawing/2014/chart" uri="{C3380CC4-5D6E-409C-BE32-E72D297353CC}">
              <c16:uniqueId val="{00000000-B542-6F4B-8F43-190514E6BD75}"/>
            </c:ext>
          </c:extLst>
        </c:ser>
        <c:dLbls>
          <c:showLegendKey val="0"/>
          <c:showVal val="0"/>
          <c:showCatName val="0"/>
          <c:showSerName val="0"/>
          <c:showPercent val="0"/>
          <c:showBubbleSize val="0"/>
        </c:dLbls>
        <c:gapWidth val="60"/>
        <c:overlap val="-27"/>
        <c:axId val="-1979201776"/>
        <c:axId val="-1979202864"/>
      </c:barChart>
      <c:catAx>
        <c:axId val="-1979201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Source: SLTDA, Statistical Report 2017</a:t>
                </a:r>
              </a:p>
            </c:rich>
          </c:tx>
          <c:layout>
            <c:manualLayout>
              <c:xMode val="edge"/>
              <c:yMode val="edge"/>
              <c:x val="0.45205838656960334"/>
              <c:y val="0.929606299212598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9202864"/>
        <c:crosses val="autoZero"/>
        <c:auto val="1"/>
        <c:lblAlgn val="ctr"/>
        <c:lblOffset val="100"/>
        <c:noMultiLvlLbl val="0"/>
      </c:catAx>
      <c:valAx>
        <c:axId val="-1979202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9201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a:solidFill>
                  <a:sysClr val="windowText" lastClr="000000"/>
                </a:solidFill>
              </a:rPr>
              <a:t>Figure 2: Plant Factor of Major Hydro Power Stations 2016</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Sheet1!$L$42:$L$58</c:f>
              <c:strCache>
                <c:ptCount val="17"/>
                <c:pt idx="0">
                  <c:v>Wimalasurendra </c:v>
                </c:pt>
                <c:pt idx="1">
                  <c:v>Old Laxapana </c:v>
                </c:pt>
                <c:pt idx="2">
                  <c:v>Canyon </c:v>
                </c:pt>
                <c:pt idx="3">
                  <c:v>New Laxapana  </c:v>
                </c:pt>
                <c:pt idx="4">
                  <c:v>Polpitiya </c:v>
                </c:pt>
                <c:pt idx="5">
                  <c:v>Kotmale </c:v>
                </c:pt>
                <c:pt idx="6">
                  <c:v>Victoria  </c:v>
                </c:pt>
                <c:pt idx="7">
                  <c:v>Randenigala </c:v>
                </c:pt>
                <c:pt idx="8">
                  <c:v>Rantambe </c:v>
                </c:pt>
                <c:pt idx="9">
                  <c:v>Ukuwela</c:v>
                </c:pt>
                <c:pt idx="10">
                  <c:v>Bowatenna</c:v>
                </c:pt>
                <c:pt idx="11">
                  <c:v>Upper Kotmale  </c:v>
                </c:pt>
                <c:pt idx="12">
                  <c:v>Samanalawewa </c:v>
                </c:pt>
                <c:pt idx="13">
                  <c:v>Kukule </c:v>
                </c:pt>
                <c:pt idx="14">
                  <c:v>Inginiyagala  </c:v>
                </c:pt>
                <c:pt idx="15">
                  <c:v>Udawalawe</c:v>
                </c:pt>
                <c:pt idx="16">
                  <c:v>Nilambe</c:v>
                </c:pt>
              </c:strCache>
            </c:strRef>
          </c:cat>
          <c:val>
            <c:numRef>
              <c:f>Sheet1!$M$42:$M$58</c:f>
              <c:numCache>
                <c:formatCode>0.00%</c:formatCode>
                <c:ptCount val="17"/>
                <c:pt idx="0">
                  <c:v>0.193</c:v>
                </c:pt>
                <c:pt idx="1">
                  <c:v>0.504</c:v>
                </c:pt>
                <c:pt idx="2">
                  <c:v>0.23300000000000001</c:v>
                </c:pt>
                <c:pt idx="3">
                  <c:v>0.42399999999999999</c:v>
                </c:pt>
                <c:pt idx="4">
                  <c:v>0.49299999999999999</c:v>
                </c:pt>
                <c:pt idx="5">
                  <c:v>0.158</c:v>
                </c:pt>
                <c:pt idx="6">
                  <c:v>0.31900000000000001</c:v>
                </c:pt>
                <c:pt idx="7">
                  <c:v>0.30199999999999999</c:v>
                </c:pt>
                <c:pt idx="8">
                  <c:v>0.33100000000000002</c:v>
                </c:pt>
                <c:pt idx="9">
                  <c:v>0.45</c:v>
                </c:pt>
                <c:pt idx="10">
                  <c:v>0.12</c:v>
                </c:pt>
                <c:pt idx="11">
                  <c:v>0.17899999999999999</c:v>
                </c:pt>
                <c:pt idx="12">
                  <c:v>0.247</c:v>
                </c:pt>
                <c:pt idx="13">
                  <c:v>0.32900000000000001</c:v>
                </c:pt>
                <c:pt idx="14">
                  <c:v>0.42199999999999999</c:v>
                </c:pt>
                <c:pt idx="15">
                  <c:v>0.29499999999999998</c:v>
                </c:pt>
                <c:pt idx="16">
                  <c:v>0.154</c:v>
                </c:pt>
              </c:numCache>
            </c:numRef>
          </c:val>
          <c:extLst>
            <c:ext xmlns:c16="http://schemas.microsoft.com/office/drawing/2014/chart" uri="{C3380CC4-5D6E-409C-BE32-E72D297353CC}">
              <c16:uniqueId val="{00000000-A2BB-492C-91B8-EE79E830F352}"/>
            </c:ext>
          </c:extLst>
        </c:ser>
        <c:dLbls>
          <c:showLegendKey val="0"/>
          <c:showVal val="1"/>
          <c:showCatName val="0"/>
          <c:showSerName val="0"/>
          <c:showPercent val="0"/>
          <c:showBubbleSize val="0"/>
        </c:dLbls>
        <c:gapWidth val="96"/>
        <c:shape val="box"/>
        <c:axId val="-1979200688"/>
        <c:axId val="-1979206672"/>
        <c:axId val="0"/>
      </c:bar3DChart>
      <c:catAx>
        <c:axId val="-1979200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CEB Hydopower Stations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9206672"/>
        <c:crosses val="autoZero"/>
        <c:auto val="1"/>
        <c:lblAlgn val="ctr"/>
        <c:lblOffset val="100"/>
        <c:noMultiLvlLbl val="0"/>
      </c:catAx>
      <c:valAx>
        <c:axId val="-1979206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Source: Ceylon Electricity Board data</a:t>
                </a:r>
              </a:p>
            </c:rich>
          </c:tx>
          <c:layout>
            <c:manualLayout>
              <c:xMode val="edge"/>
              <c:yMode val="edge"/>
              <c:x val="0.56304699200735497"/>
              <c:y val="0.946892856214755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92006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a:solidFill>
                  <a:sysClr val="windowText" lastClr="000000"/>
                </a:solidFill>
              </a:rPr>
              <a:t>Figure 3: Tourist Guest Nights, 2010 and 2017</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9072874819219027"/>
          <c:y val="0.17171296296296296"/>
          <c:w val="0.77185628582141519"/>
          <c:h val="0.54003025663458737"/>
        </c:manualLayout>
      </c:layout>
      <c:barChart>
        <c:barDir val="col"/>
        <c:grouping val="clustered"/>
        <c:varyColors val="0"/>
        <c:ser>
          <c:idx val="0"/>
          <c:order val="0"/>
          <c:tx>
            <c:strRef>
              <c:f>ET!$B$8</c:f>
              <c:strCache>
                <c:ptCount val="1"/>
                <c:pt idx="0">
                  <c:v>2010</c:v>
                </c:pt>
              </c:strCache>
            </c:strRef>
          </c:tx>
          <c:spPr>
            <a:solidFill>
              <a:schemeClr val="accent1"/>
            </a:solidFill>
            <a:ln>
              <a:noFill/>
            </a:ln>
            <a:effectLst/>
          </c:spPr>
          <c:invertIfNegative val="0"/>
          <c:dLbls>
            <c:dLbl>
              <c:idx val="0"/>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EA-7E44-B86C-EBF4D161AD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ET!$A$9:$A$11</c:f>
              <c:strCache>
                <c:ptCount val="3"/>
                <c:pt idx="0">
                  <c:v>Classified hotels</c:v>
                </c:pt>
                <c:pt idx="1">
                  <c:v>Unclassified hotels</c:v>
                </c:pt>
                <c:pt idx="2">
                  <c:v>Supplementary units</c:v>
                </c:pt>
              </c:strCache>
            </c:strRef>
          </c:cat>
          <c:val>
            <c:numRef>
              <c:f>ET!$B$9:$B$11</c:f>
              <c:numCache>
                <c:formatCode>_(* #,##0.0_);_(* \(#,##0.0\);_(* "-"??_);_(@_)</c:formatCode>
                <c:ptCount val="3"/>
                <c:pt idx="0">
                  <c:v>63.164979391261213</c:v>
                </c:pt>
                <c:pt idx="1">
                  <c:v>17.915993897540091</c:v>
                </c:pt>
                <c:pt idx="2">
                  <c:v>18.9190267111987</c:v>
                </c:pt>
              </c:numCache>
            </c:numRef>
          </c:val>
          <c:extLst>
            <c:ext xmlns:c16="http://schemas.microsoft.com/office/drawing/2014/chart" uri="{C3380CC4-5D6E-409C-BE32-E72D297353CC}">
              <c16:uniqueId val="{00000001-9DEA-7E44-B86C-EBF4D161AD4E}"/>
            </c:ext>
          </c:extLst>
        </c:ser>
        <c:ser>
          <c:idx val="1"/>
          <c:order val="1"/>
          <c:tx>
            <c:strRef>
              <c:f>ET!$C$8</c:f>
              <c:strCache>
                <c:ptCount val="1"/>
                <c:pt idx="0">
                  <c:v>2017</c:v>
                </c:pt>
              </c:strCache>
            </c:strRef>
          </c:tx>
          <c:spPr>
            <a:solidFill>
              <a:schemeClr val="accent2"/>
            </a:solidFill>
            <a:ln>
              <a:noFill/>
            </a:ln>
            <a:effectLst/>
          </c:spPr>
          <c:invertIfNegative val="0"/>
          <c:dLbls>
            <c:dLbl>
              <c:idx val="0"/>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EA-7E44-B86C-EBF4D161AD4E}"/>
                </c:ext>
              </c:extLst>
            </c:dLbl>
            <c:dLbl>
              <c:idx val="1"/>
              <c:layout>
                <c:manualLayout>
                  <c:x val="-3.4013605442176869E-3"/>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EA-7E44-B86C-EBF4D161AD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ET!$A$9:$A$11</c:f>
              <c:strCache>
                <c:ptCount val="3"/>
                <c:pt idx="0">
                  <c:v>Classified hotels</c:v>
                </c:pt>
                <c:pt idx="1">
                  <c:v>Unclassified hotels</c:v>
                </c:pt>
                <c:pt idx="2">
                  <c:v>Supplementary units</c:v>
                </c:pt>
              </c:strCache>
            </c:strRef>
          </c:cat>
          <c:val>
            <c:numRef>
              <c:f>ET!$C$9:$C$11</c:f>
              <c:numCache>
                <c:formatCode>_(* #,##0.0_);_(* \(#,##0.0\);_(* "-"??_);_(@_)</c:formatCode>
                <c:ptCount val="3"/>
                <c:pt idx="0">
                  <c:v>50.423314430736397</c:v>
                </c:pt>
                <c:pt idx="1">
                  <c:v>22.798362401385315</c:v>
                </c:pt>
                <c:pt idx="2">
                  <c:v>26.778323167878288</c:v>
                </c:pt>
              </c:numCache>
            </c:numRef>
          </c:val>
          <c:extLst>
            <c:ext xmlns:c16="http://schemas.microsoft.com/office/drawing/2014/chart" uri="{C3380CC4-5D6E-409C-BE32-E72D297353CC}">
              <c16:uniqueId val="{00000004-9DEA-7E44-B86C-EBF4D161AD4E}"/>
            </c:ext>
          </c:extLst>
        </c:ser>
        <c:dLbls>
          <c:dLblPos val="outEnd"/>
          <c:showLegendKey val="0"/>
          <c:showVal val="1"/>
          <c:showCatName val="0"/>
          <c:showSerName val="0"/>
          <c:showPercent val="0"/>
          <c:showBubbleSize val="0"/>
        </c:dLbls>
        <c:gapWidth val="100"/>
        <c:overlap val="-27"/>
        <c:axId val="-1979204496"/>
        <c:axId val="-1972490336"/>
      </c:barChart>
      <c:catAx>
        <c:axId val="-1979204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Source: Sri Lanka Tourism Development Authority</a:t>
                </a:r>
              </a:p>
            </c:rich>
          </c:tx>
          <c:layout>
            <c:manualLayout>
              <c:xMode val="edge"/>
              <c:yMode val="edge"/>
              <c:x val="0.24346938775510205"/>
              <c:y val="0.879258530183726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2490336"/>
        <c:crosses val="autoZero"/>
        <c:auto val="0"/>
        <c:lblAlgn val="ctr"/>
        <c:lblOffset val="100"/>
        <c:noMultiLvlLbl val="0"/>
      </c:catAx>
      <c:valAx>
        <c:axId val="-197249033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Guest nights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9204496"/>
        <c:crosses val="autoZero"/>
        <c:crossBetween val="between"/>
        <c:majorUnit val="10"/>
      </c:valAx>
      <c:spPr>
        <a:noFill/>
        <a:ln>
          <a:noFill/>
        </a:ln>
        <a:effectLst/>
      </c:spPr>
    </c:plotArea>
    <c:legend>
      <c:legendPos val="b"/>
      <c:layout>
        <c:manualLayout>
          <c:xMode val="edge"/>
          <c:yMode val="edge"/>
          <c:x val="0.54166050672237398"/>
          <c:y val="0.19965223097112861"/>
          <c:w val="0.25522015105254703"/>
          <c:h val="9.6644065325167672E-2"/>
        </c:manualLayout>
      </c:layout>
      <c:overlay val="0"/>
      <c:spPr>
        <a:solidFill>
          <a:schemeClr val="bg1"/>
        </a:solid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BDS16</b:Tag>
    <b:SourceType>Report</b:SourceType>
    <b:Guid>{DCFBC497-7E53-4479-BE63-03F1D7BD6121}</b:Guid>
    <b:Author>
      <b:Author>
        <b:NameList>
          <b:Person>
            <b:Last>BDS</b:Last>
          </b:Person>
        </b:NameList>
      </b:Author>
    </b:Author>
    <b:Title>National Biodiversity Strategic Action Plan 2016-2022</b:Title>
    <b:Year>2016</b:Year>
    <b:Publisher>Biodiversity Secretariat, Ministry of Mahaweli Development and Environment</b:Publisher>
    <b:City>Colombo</b:City>
    <b:RefOrder>6</b:RefOrder>
  </b:Source>
</b:Sources>
</file>

<file path=customXml/itemProps1.xml><?xml version="1.0" encoding="utf-8"?>
<ds:datastoreItem xmlns:ds="http://schemas.openxmlformats.org/officeDocument/2006/customXml" ds:itemID="{9AADA831-3850-4662-89E4-A6B5670A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26295</Words>
  <Characters>149887</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Ramitha Wijethunga</cp:lastModifiedBy>
  <cp:revision>3</cp:revision>
  <cp:lastPrinted>2018-10-14T11:41:00Z</cp:lastPrinted>
  <dcterms:created xsi:type="dcterms:W3CDTF">2019-09-11T04:18:00Z</dcterms:created>
  <dcterms:modified xsi:type="dcterms:W3CDTF">2019-09-11T04:47:00Z</dcterms:modified>
</cp:coreProperties>
</file>